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Theme="minorEastAsia" w:hAnsiTheme="minorEastAsia"/>
          <w:b/>
          <w:color w:val="FF0000"/>
          <w:kern w:val="0"/>
          <w:sz w:val="68"/>
          <w:szCs w:val="68"/>
        </w:rPr>
      </w:pPr>
      <w:r>
        <w:rPr>
          <w:rFonts w:hint="eastAsia" w:asciiTheme="minorEastAsia" w:hAnsiTheme="minorEastAsia"/>
          <w:b/>
          <w:color w:val="FF0000"/>
          <w:spacing w:val="3"/>
          <w:w w:val="81"/>
          <w:kern w:val="0"/>
          <w:sz w:val="68"/>
          <w:szCs w:val="68"/>
        </w:rPr>
        <w:t>电子科技大学继续教育学院通知</w:t>
      </w:r>
    </w:p>
    <w:p>
      <w:pPr>
        <w:widowControl/>
        <w:jc w:val="center"/>
        <w:rPr>
          <w:rFonts w:asciiTheme="minorEastAsia" w:hAnsiTheme="minorEastAsia"/>
          <w:kern w:val="0"/>
          <w:sz w:val="28"/>
        </w:rPr>
      </w:pPr>
      <w:r>
        <w:rPr>
          <w:rFonts w:hint="eastAsia" w:asciiTheme="minorEastAsia" w:hAnsiTheme="minorEastAsia"/>
          <w:kern w:val="0"/>
          <w:sz w:val="28"/>
        </w:rPr>
        <w:t>继教教管</w:t>
      </w:r>
      <w:r>
        <w:rPr>
          <w:rFonts w:hint="eastAsia" w:ascii="华文中宋" w:hAnsi="华文中宋" w:eastAsia="华文中宋"/>
          <w:kern w:val="0"/>
          <w:sz w:val="28"/>
        </w:rPr>
        <w:t>〔</w:t>
      </w:r>
      <w:r>
        <w:rPr>
          <w:rFonts w:hint="eastAsia" w:asciiTheme="minorEastAsia" w:hAnsiTheme="minorEastAsia"/>
          <w:kern w:val="0"/>
          <w:sz w:val="28"/>
        </w:rPr>
        <w:t>202</w:t>
      </w:r>
      <w:r>
        <w:rPr>
          <w:rFonts w:asciiTheme="minorEastAsia" w:hAnsiTheme="minorEastAsia"/>
          <w:kern w:val="0"/>
          <w:sz w:val="28"/>
        </w:rPr>
        <w:t>2</w:t>
      </w:r>
      <w:r>
        <w:rPr>
          <w:rFonts w:hint="eastAsia" w:ascii="华文中宋" w:hAnsi="华文中宋" w:eastAsia="华文中宋"/>
          <w:kern w:val="0"/>
          <w:sz w:val="28"/>
        </w:rPr>
        <w:t>〕</w:t>
      </w:r>
      <w:r>
        <w:rPr>
          <w:rFonts w:hint="eastAsia" w:asciiTheme="minorEastAsia" w:hAnsiTheme="minorEastAsia"/>
          <w:kern w:val="0"/>
          <w:sz w:val="28"/>
        </w:rPr>
        <w:t xml:space="preserve"> </w:t>
      </w:r>
      <w:r>
        <w:rPr>
          <w:rFonts w:asciiTheme="minorEastAsia" w:hAnsiTheme="minorEastAsia"/>
          <w:kern w:val="0"/>
          <w:sz w:val="28"/>
        </w:rPr>
        <w:t>30</w:t>
      </w:r>
      <w:r>
        <w:rPr>
          <w:rFonts w:hint="eastAsia" w:asciiTheme="minorEastAsia" w:hAnsiTheme="minorEastAsia"/>
          <w:kern w:val="0"/>
          <w:sz w:val="28"/>
        </w:rPr>
        <w:t xml:space="preserve"> 号</w:t>
      </w:r>
    </w:p>
    <w:p>
      <w:pPr>
        <w:widowControl/>
        <w:snapToGrid w:val="0"/>
        <w:ind w:firstLine="321" w:firstLineChars="100"/>
        <w:jc w:val="center"/>
        <w:rPr>
          <w:rFonts w:asciiTheme="minorEastAsia" w:hAnsiTheme="minorEastAsia"/>
          <w:b/>
          <w:kern w:val="0"/>
          <w:sz w:val="32"/>
        </w:rPr>
      </w:pPr>
      <w:r>
        <w:rPr>
          <w:rFonts w:asciiTheme="minorEastAsia" w:hAnsiTheme="minorEastAsia"/>
          <w:b/>
          <w:kern w:val="0"/>
          <w:sz w:val="32"/>
        </w:rPr>
        <mc:AlternateContent>
          <mc:Choice Requires="wps">
            <w:drawing>
              <wp:anchor distT="0" distB="0" distL="114300" distR="114300" simplePos="0" relativeHeight="251659264" behindDoc="0" locked="0" layoutInCell="1" allowOverlap="1">
                <wp:simplePos x="0" y="0"/>
                <wp:positionH relativeFrom="column">
                  <wp:posOffset>27305</wp:posOffset>
                </wp:positionH>
                <wp:positionV relativeFrom="paragraph">
                  <wp:posOffset>15240</wp:posOffset>
                </wp:positionV>
                <wp:extent cx="5231130" cy="0"/>
                <wp:effectExtent l="17780" t="15240" r="18415" b="13335"/>
                <wp:wrapNone/>
                <wp:docPr id="1" name="AutoShape 2"/>
                <wp:cNvGraphicFramePr/>
                <a:graphic xmlns:a="http://schemas.openxmlformats.org/drawingml/2006/main">
                  <a:graphicData uri="http://schemas.microsoft.com/office/word/2010/wordprocessingShape">
                    <wps:wsp>
                      <wps:cNvCnPr>
                        <a:cxnSpLocks noChangeShapeType="1"/>
                      </wps:cNvCnPr>
                      <wps:spPr bwMode="auto">
                        <a:xfrm>
                          <a:off x="0" y="0"/>
                          <a:ext cx="5231130" cy="0"/>
                        </a:xfrm>
                        <a:prstGeom prst="straightConnector1">
                          <a:avLst/>
                        </a:prstGeom>
                        <a:noFill/>
                        <a:ln w="19050">
                          <a:solidFill>
                            <a:srgbClr val="FF0000"/>
                          </a:solidFill>
                          <a:round/>
                        </a:ln>
                      </wps:spPr>
                      <wps:bodyPr/>
                    </wps:wsp>
                  </a:graphicData>
                </a:graphic>
              </wp:anchor>
            </w:drawing>
          </mc:Choice>
          <mc:Fallback>
            <w:pict>
              <v:shape id="AutoShape 2" o:spid="_x0000_s1026" o:spt="32" type="#_x0000_t32" style="position:absolute;left:0pt;margin-left:2.15pt;margin-top:1.2pt;height:0pt;width:411.9pt;z-index:251659264;mso-width-relative:page;mso-height-relative:page;" filled="f" stroked="t" coordsize="21600,21600" o:gfxdata="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hgwm0gAAAAUBAAAPAAAAAAAAAAEAIAAAACIA&#10;AABkcnMvZG93bnJldi54bWxQSwECFAAUAAAACACHTuJAI7IB+dYBAACzAwAADgAAAAAAAAABACAA&#10;AAAhAQAAZHJzL2Uyb0RvYy54bWxQSwUGAAAAAAYABgBZAQAAaQUAAAAA&#10;">
                <v:fill on="f" focussize="0,0"/>
                <v:stroke weight="1.5pt" color="#FF0000" joinstyle="round"/>
                <v:imagedata o:title=""/>
                <o:lock v:ext="edit" aspectratio="f"/>
              </v:shape>
            </w:pict>
          </mc:Fallback>
        </mc:AlternateContent>
      </w:r>
    </w:p>
    <w:p>
      <w:pPr>
        <w:spacing w:line="440" w:lineRule="exact"/>
        <w:jc w:val="center"/>
        <w:rPr>
          <w:rFonts w:asciiTheme="minorEastAsia" w:hAnsiTheme="minorEastAsia"/>
          <w:b/>
          <w:sz w:val="32"/>
          <w:szCs w:val="32"/>
        </w:rPr>
      </w:pPr>
      <w:r>
        <w:rPr>
          <w:rFonts w:asciiTheme="minorEastAsia" w:hAnsiTheme="minorEastAsia"/>
          <w:b/>
          <w:sz w:val="32"/>
          <w:szCs w:val="32"/>
        </w:rPr>
        <w:t>关于2022年</w:t>
      </w:r>
      <w:r>
        <w:rPr>
          <w:rFonts w:hint="eastAsia" w:asciiTheme="minorEastAsia" w:hAnsiTheme="minorEastAsia"/>
          <w:b/>
          <w:sz w:val="32"/>
          <w:szCs w:val="32"/>
        </w:rPr>
        <w:t>秋</w:t>
      </w:r>
      <w:r>
        <w:rPr>
          <w:rFonts w:asciiTheme="minorEastAsia" w:hAnsiTheme="minorEastAsia"/>
          <w:b/>
          <w:sz w:val="32"/>
          <w:szCs w:val="32"/>
        </w:rPr>
        <w:t>季学期</w:t>
      </w:r>
    </w:p>
    <w:p>
      <w:pPr>
        <w:spacing w:line="440" w:lineRule="exact"/>
        <w:jc w:val="center"/>
        <w:rPr>
          <w:rFonts w:asciiTheme="minorEastAsia" w:hAnsiTheme="minorEastAsia"/>
          <w:b/>
          <w:sz w:val="32"/>
          <w:szCs w:val="32"/>
        </w:rPr>
      </w:pPr>
      <w:r>
        <w:rPr>
          <w:rFonts w:asciiTheme="minorEastAsia" w:hAnsiTheme="minorEastAsia"/>
          <w:b/>
          <w:sz w:val="32"/>
          <w:szCs w:val="32"/>
        </w:rPr>
        <w:t>本科生毕业设计（论文）相关工作的</w:t>
      </w:r>
      <w:r>
        <w:rPr>
          <w:rFonts w:hint="eastAsia" w:asciiTheme="minorEastAsia" w:hAnsiTheme="minorEastAsia"/>
          <w:b/>
          <w:sz w:val="32"/>
          <w:szCs w:val="32"/>
        </w:rPr>
        <w:t>安排</w:t>
      </w:r>
    </w:p>
    <w:p>
      <w:pPr>
        <w:spacing w:line="440" w:lineRule="exact"/>
        <w:ind w:firstLine="480" w:firstLineChars="200"/>
        <w:jc w:val="center"/>
        <w:rPr>
          <w:kern w:val="0"/>
          <w:sz w:val="24"/>
          <w:szCs w:val="24"/>
        </w:rPr>
      </w:pPr>
    </w:p>
    <w:p>
      <w:pPr>
        <w:spacing w:line="440" w:lineRule="exact"/>
        <w:ind w:firstLine="480" w:firstLineChars="200"/>
        <w:rPr>
          <w:kern w:val="0"/>
          <w:sz w:val="24"/>
          <w:szCs w:val="24"/>
        </w:rPr>
      </w:pPr>
      <w:r>
        <w:rPr>
          <w:kern w:val="0"/>
          <w:sz w:val="24"/>
          <w:szCs w:val="24"/>
        </w:rPr>
        <w:t>2022年</w:t>
      </w:r>
      <w:r>
        <w:rPr>
          <w:rFonts w:hint="eastAsia"/>
          <w:kern w:val="0"/>
          <w:sz w:val="24"/>
          <w:szCs w:val="24"/>
        </w:rPr>
        <w:t>秋</w:t>
      </w:r>
      <w:r>
        <w:rPr>
          <w:kern w:val="0"/>
          <w:sz w:val="24"/>
          <w:szCs w:val="24"/>
        </w:rPr>
        <w:t>季学期毕业设计（论文）工作从20</w:t>
      </w:r>
      <w:r>
        <w:rPr>
          <w:rFonts w:hint="eastAsia"/>
          <w:kern w:val="0"/>
          <w:sz w:val="24"/>
          <w:szCs w:val="24"/>
        </w:rPr>
        <w:t>2</w:t>
      </w:r>
      <w:r>
        <w:rPr>
          <w:kern w:val="0"/>
          <w:sz w:val="24"/>
          <w:szCs w:val="24"/>
        </w:rPr>
        <w:t>2年</w:t>
      </w:r>
      <w:r>
        <w:rPr>
          <w:rFonts w:hint="eastAsia"/>
          <w:kern w:val="0"/>
          <w:sz w:val="24"/>
          <w:szCs w:val="24"/>
        </w:rPr>
        <w:t>7</w:t>
      </w:r>
      <w:r>
        <w:rPr>
          <w:kern w:val="0"/>
          <w:sz w:val="24"/>
          <w:szCs w:val="24"/>
        </w:rPr>
        <w:t>月</w:t>
      </w:r>
      <w:r>
        <w:rPr>
          <w:rFonts w:hint="eastAsia"/>
          <w:kern w:val="0"/>
          <w:sz w:val="24"/>
          <w:szCs w:val="24"/>
        </w:rPr>
        <w:t>1</w:t>
      </w:r>
      <w:r>
        <w:rPr>
          <w:kern w:val="0"/>
          <w:sz w:val="24"/>
          <w:szCs w:val="24"/>
        </w:rPr>
        <w:t>1日起至12月25日前结束</w:t>
      </w:r>
      <w:r>
        <w:rPr>
          <w:rFonts w:hint="eastAsia"/>
          <w:kern w:val="0"/>
          <w:sz w:val="24"/>
          <w:szCs w:val="24"/>
        </w:rPr>
        <w:t>，</w:t>
      </w:r>
      <w:r>
        <w:rPr>
          <w:kern w:val="0"/>
          <w:sz w:val="24"/>
          <w:szCs w:val="24"/>
        </w:rPr>
        <w:t>现将相关工作通知如下：</w:t>
      </w:r>
    </w:p>
    <w:p>
      <w:pPr>
        <w:spacing w:line="440" w:lineRule="exact"/>
        <w:ind w:firstLine="482" w:firstLineChars="200"/>
        <w:rPr>
          <w:b/>
          <w:bCs/>
          <w:kern w:val="0"/>
          <w:sz w:val="24"/>
          <w:szCs w:val="24"/>
        </w:rPr>
      </w:pPr>
      <w:r>
        <w:rPr>
          <w:rFonts w:hint="eastAsia"/>
          <w:b/>
          <w:bCs/>
          <w:kern w:val="0"/>
          <w:sz w:val="24"/>
          <w:szCs w:val="24"/>
        </w:rPr>
        <w:t>一</w:t>
      </w:r>
      <w:r>
        <w:rPr>
          <w:b/>
          <w:bCs/>
          <w:kern w:val="0"/>
          <w:sz w:val="24"/>
          <w:szCs w:val="24"/>
        </w:rPr>
        <w:t>、毕业设计（论文）撰写资格审核 </w:t>
      </w:r>
    </w:p>
    <w:p>
      <w:pPr>
        <w:spacing w:line="440" w:lineRule="exact"/>
        <w:ind w:firstLine="480" w:firstLineChars="200"/>
        <w:rPr>
          <w:kern w:val="0"/>
          <w:sz w:val="24"/>
          <w:szCs w:val="24"/>
        </w:rPr>
      </w:pPr>
      <w:r>
        <w:rPr>
          <w:kern w:val="0"/>
          <w:sz w:val="24"/>
          <w:szCs w:val="24"/>
        </w:rPr>
        <w:t>202</w:t>
      </w:r>
      <w:r>
        <w:rPr>
          <w:rFonts w:hint="eastAsia"/>
          <w:kern w:val="0"/>
          <w:sz w:val="24"/>
          <w:szCs w:val="24"/>
        </w:rPr>
        <w:t>1春</w:t>
      </w:r>
      <w:r>
        <w:rPr>
          <w:kern w:val="0"/>
          <w:sz w:val="24"/>
          <w:szCs w:val="24"/>
        </w:rPr>
        <w:t>季入学批次及以前入学批次在学业年限内学生，学费全部缴纳完毕。学习中心应督促学生及时完成</w:t>
      </w:r>
      <w:bookmarkStart w:id="0" w:name="_GoBack"/>
      <w:bookmarkEnd w:id="0"/>
      <w:r>
        <w:rPr>
          <w:kern w:val="0"/>
          <w:sz w:val="24"/>
          <w:szCs w:val="24"/>
        </w:rPr>
        <w:t>学习平台课程学习，并缴清学生学费。</w:t>
      </w:r>
    </w:p>
    <w:p>
      <w:pPr>
        <w:pStyle w:val="10"/>
        <w:spacing w:line="440" w:lineRule="exact"/>
        <w:ind w:left="420" w:firstLine="0" w:firstLineChars="0"/>
        <w:rPr>
          <w:kern w:val="0"/>
          <w:sz w:val="24"/>
          <w:szCs w:val="24"/>
        </w:rPr>
      </w:pPr>
      <w:r>
        <w:rPr>
          <w:rFonts w:hint="eastAsia"/>
          <w:b/>
          <w:bCs/>
          <w:kern w:val="0"/>
          <w:sz w:val="24"/>
          <w:szCs w:val="24"/>
        </w:rPr>
        <w:t>二、重点关注内容</w:t>
      </w:r>
    </w:p>
    <w:p>
      <w:pPr>
        <w:spacing w:line="440" w:lineRule="exact"/>
        <w:ind w:firstLine="480" w:firstLineChars="200"/>
        <w:rPr>
          <w:kern w:val="0"/>
          <w:sz w:val="24"/>
          <w:szCs w:val="24"/>
        </w:rPr>
      </w:pPr>
      <w:r>
        <w:rPr>
          <w:rFonts w:hint="eastAsia"/>
          <w:kern w:val="0"/>
          <w:sz w:val="24"/>
          <w:szCs w:val="24"/>
        </w:rPr>
        <w:t>1</w:t>
      </w:r>
      <w:r>
        <w:rPr>
          <w:kern w:val="0"/>
          <w:sz w:val="24"/>
          <w:szCs w:val="24"/>
        </w:rPr>
        <w:t xml:space="preserve">. </w:t>
      </w:r>
      <w:r>
        <w:rPr>
          <w:rFonts w:hint="eastAsia"/>
          <w:kern w:val="0"/>
          <w:sz w:val="24"/>
          <w:szCs w:val="24"/>
        </w:rPr>
        <w:t>教务管理中心对本科毕业设计（论文）相关文件进行了修订（继教院字【2</w:t>
      </w:r>
      <w:r>
        <w:rPr>
          <w:kern w:val="0"/>
          <w:sz w:val="24"/>
          <w:szCs w:val="24"/>
        </w:rPr>
        <w:t>022</w:t>
      </w:r>
      <w:r>
        <w:rPr>
          <w:rFonts w:hint="eastAsia"/>
          <w:kern w:val="0"/>
          <w:sz w:val="24"/>
          <w:szCs w:val="24"/>
        </w:rPr>
        <w:t>】</w:t>
      </w:r>
      <w:r>
        <w:rPr>
          <w:kern w:val="0"/>
          <w:sz w:val="24"/>
          <w:szCs w:val="24"/>
        </w:rPr>
        <w:t>19</w:t>
      </w:r>
      <w:r>
        <w:rPr>
          <w:rFonts w:hint="eastAsia"/>
          <w:kern w:val="0"/>
          <w:sz w:val="24"/>
          <w:szCs w:val="24"/>
        </w:rPr>
        <w:t>号）（附件1），请各办学单位认真阅读。其中对本科生毕业设计（论文）的总分值进行了调整，无论是选择现场答辩方式还是书面答辩方式，论文总成绩均为1</w:t>
      </w:r>
      <w:r>
        <w:rPr>
          <w:kern w:val="0"/>
          <w:sz w:val="24"/>
          <w:szCs w:val="24"/>
        </w:rPr>
        <w:t>00</w:t>
      </w:r>
      <w:r>
        <w:rPr>
          <w:rFonts w:hint="eastAsia"/>
          <w:kern w:val="0"/>
          <w:sz w:val="24"/>
          <w:szCs w:val="24"/>
        </w:rPr>
        <w:t>分。选择书面答辩的学生论文成绩评定按照：平时成绩</w:t>
      </w:r>
      <w:r>
        <w:rPr>
          <w:kern w:val="0"/>
          <w:sz w:val="24"/>
          <w:szCs w:val="24"/>
        </w:rPr>
        <w:t>3</w:t>
      </w:r>
      <w:r>
        <w:rPr>
          <w:rFonts w:hint="eastAsia"/>
          <w:kern w:val="0"/>
          <w:sz w:val="24"/>
          <w:szCs w:val="24"/>
        </w:rPr>
        <w:t>0分、论文质量</w:t>
      </w:r>
      <w:r>
        <w:rPr>
          <w:kern w:val="0"/>
          <w:sz w:val="24"/>
          <w:szCs w:val="24"/>
        </w:rPr>
        <w:t>50</w:t>
      </w:r>
      <w:r>
        <w:rPr>
          <w:rFonts w:hint="eastAsia"/>
          <w:kern w:val="0"/>
          <w:sz w:val="24"/>
          <w:szCs w:val="24"/>
        </w:rPr>
        <w:t>分，书面答辩20分；选择现场答辩的学生论文成绩评定按照：平时成绩20分、论文质量</w:t>
      </w:r>
      <w:r>
        <w:rPr>
          <w:kern w:val="0"/>
          <w:sz w:val="24"/>
          <w:szCs w:val="24"/>
        </w:rPr>
        <w:t>5</w:t>
      </w:r>
      <w:r>
        <w:rPr>
          <w:rFonts w:hint="eastAsia"/>
          <w:kern w:val="0"/>
          <w:sz w:val="24"/>
          <w:szCs w:val="24"/>
        </w:rPr>
        <w:t>0分、现场答辩</w:t>
      </w:r>
      <w:r>
        <w:rPr>
          <w:kern w:val="0"/>
          <w:sz w:val="24"/>
          <w:szCs w:val="24"/>
        </w:rPr>
        <w:t>3</w:t>
      </w:r>
      <w:r>
        <w:rPr>
          <w:rFonts w:hint="eastAsia"/>
          <w:kern w:val="0"/>
          <w:sz w:val="24"/>
          <w:szCs w:val="24"/>
        </w:rPr>
        <w:t>0分评定。</w:t>
      </w:r>
    </w:p>
    <w:p>
      <w:pPr>
        <w:spacing w:line="440" w:lineRule="exact"/>
        <w:ind w:firstLine="480" w:firstLineChars="200"/>
        <w:rPr>
          <w:kern w:val="0"/>
          <w:sz w:val="24"/>
          <w:szCs w:val="24"/>
        </w:rPr>
      </w:pPr>
      <w:r>
        <w:rPr>
          <w:kern w:val="0"/>
          <w:sz w:val="24"/>
          <w:szCs w:val="24"/>
        </w:rPr>
        <w:t>2</w:t>
      </w:r>
      <w:r>
        <w:rPr>
          <w:rFonts w:hint="eastAsia"/>
          <w:kern w:val="0"/>
          <w:sz w:val="24"/>
          <w:szCs w:val="24"/>
        </w:rPr>
        <w:t>.</w:t>
      </w:r>
      <w:r>
        <w:rPr>
          <w:kern w:val="0"/>
          <w:sz w:val="24"/>
          <w:szCs w:val="24"/>
        </w:rPr>
        <w:t xml:space="preserve"> </w:t>
      </w:r>
      <w:r>
        <w:rPr>
          <w:rFonts w:hint="eastAsia"/>
          <w:kern w:val="0"/>
          <w:sz w:val="24"/>
          <w:szCs w:val="24"/>
        </w:rPr>
        <w:t>校抽检工作：根据教育部《本科毕业论文（设计）抽检办法（试行）》以及四川省教育厅《四川省本科毕业论文（设计）抽检实施细则（试行）》的要求，总校将针对现场答辩学生启动抽检工作，论文自动纳入抽查范围。</w:t>
      </w:r>
    </w:p>
    <w:p>
      <w:pPr>
        <w:spacing w:line="440" w:lineRule="exact"/>
        <w:ind w:firstLine="480" w:firstLineChars="200"/>
        <w:rPr>
          <w:kern w:val="0"/>
          <w:sz w:val="24"/>
          <w:szCs w:val="24"/>
        </w:rPr>
      </w:pPr>
      <w:r>
        <w:rPr>
          <w:kern w:val="0"/>
          <w:sz w:val="24"/>
          <w:szCs w:val="24"/>
        </w:rPr>
        <w:t>3.</w:t>
      </w:r>
      <w:r>
        <w:rPr>
          <w:rFonts w:hint="eastAsia"/>
          <w:kern w:val="0"/>
          <w:sz w:val="24"/>
          <w:szCs w:val="24"/>
        </w:rPr>
        <w:t xml:space="preserve"> 答辩方式选择：在毕业设计（论文）开始时必须确定答辩方式。申请学位的学生选择现场答辩，不申请学位的学生选择书面答辩。一旦开题报告审核通过，则无法再修改答辩方式。</w:t>
      </w:r>
    </w:p>
    <w:p>
      <w:pPr>
        <w:spacing w:line="440" w:lineRule="exact"/>
        <w:ind w:firstLine="480" w:firstLineChars="200"/>
        <w:rPr>
          <w:kern w:val="0"/>
          <w:sz w:val="24"/>
          <w:szCs w:val="24"/>
        </w:rPr>
      </w:pPr>
      <w:r>
        <w:rPr>
          <w:kern w:val="0"/>
          <w:sz w:val="24"/>
          <w:szCs w:val="24"/>
        </w:rPr>
        <w:t>4</w:t>
      </w:r>
      <w:r>
        <w:rPr>
          <w:rFonts w:hint="eastAsia"/>
          <w:kern w:val="0"/>
          <w:sz w:val="24"/>
          <w:szCs w:val="24"/>
        </w:rPr>
        <w:t>. 自主选题：学校的论文题库仅作为选题方向的参考，学生必须根据自己专业及工作性质自拟毕业设计（论文）题目。</w:t>
      </w:r>
    </w:p>
    <w:p>
      <w:pPr>
        <w:spacing w:line="440" w:lineRule="exact"/>
        <w:ind w:firstLine="480" w:firstLineChars="200"/>
        <w:rPr>
          <w:kern w:val="0"/>
          <w:sz w:val="24"/>
          <w:szCs w:val="24"/>
        </w:rPr>
      </w:pPr>
      <w:r>
        <w:rPr>
          <w:kern w:val="0"/>
          <w:sz w:val="24"/>
          <w:szCs w:val="24"/>
        </w:rPr>
        <w:t>5</w:t>
      </w:r>
      <w:r>
        <w:rPr>
          <w:rFonts w:hint="eastAsia"/>
          <w:kern w:val="0"/>
          <w:sz w:val="24"/>
          <w:szCs w:val="24"/>
        </w:rPr>
        <w:t>.</w:t>
      </w:r>
      <w:r>
        <w:rPr>
          <w:kern w:val="0"/>
          <w:sz w:val="24"/>
          <w:szCs w:val="24"/>
        </w:rPr>
        <w:t xml:space="preserve"> </w:t>
      </w:r>
      <w:r>
        <w:rPr>
          <w:rFonts w:hint="eastAsia"/>
          <w:kern w:val="0"/>
          <w:sz w:val="24"/>
          <w:szCs w:val="24"/>
        </w:rPr>
        <w:t>开题报告：学生在选题后须完成开题报告，指导老师评阅后，合格的学生才能开始毕业设计（论文）的写作。开题报告内容要求及填写说明见附件2，开题报告模板见附件3。</w:t>
      </w:r>
    </w:p>
    <w:p>
      <w:pPr>
        <w:spacing w:line="440" w:lineRule="exact"/>
        <w:ind w:firstLine="480" w:firstLineChars="200"/>
        <w:rPr>
          <w:kern w:val="0"/>
          <w:sz w:val="24"/>
          <w:szCs w:val="24"/>
        </w:rPr>
      </w:pPr>
      <w:r>
        <w:rPr>
          <w:kern w:val="0"/>
          <w:sz w:val="24"/>
          <w:szCs w:val="24"/>
        </w:rPr>
        <w:t>6</w:t>
      </w:r>
      <w:r>
        <w:rPr>
          <w:rFonts w:hint="eastAsia"/>
          <w:kern w:val="0"/>
          <w:sz w:val="24"/>
          <w:szCs w:val="24"/>
        </w:rPr>
        <w:t>.</w:t>
      </w:r>
      <w:r>
        <w:rPr>
          <w:kern w:val="0"/>
          <w:sz w:val="24"/>
          <w:szCs w:val="24"/>
        </w:rPr>
        <w:t xml:space="preserve"> </w:t>
      </w:r>
      <w:r>
        <w:rPr>
          <w:rFonts w:hint="eastAsia"/>
          <w:kern w:val="0"/>
          <w:sz w:val="24"/>
          <w:szCs w:val="24"/>
        </w:rPr>
        <w:t>论文撰写规范和格式参照新修订的《电子科技大学学历继续教育格式撰写规范》，撰写格式及模版分别见附件</w:t>
      </w:r>
      <w:r>
        <w:rPr>
          <w:kern w:val="0"/>
          <w:sz w:val="24"/>
          <w:szCs w:val="24"/>
        </w:rPr>
        <w:t>1</w:t>
      </w:r>
      <w:r>
        <w:rPr>
          <w:rFonts w:hint="eastAsia"/>
          <w:kern w:val="0"/>
          <w:sz w:val="24"/>
          <w:szCs w:val="24"/>
        </w:rPr>
        <w:t>。</w:t>
      </w:r>
    </w:p>
    <w:p>
      <w:pPr>
        <w:spacing w:line="440" w:lineRule="exact"/>
        <w:ind w:firstLine="480" w:firstLineChars="200"/>
        <w:rPr>
          <w:kern w:val="0"/>
          <w:sz w:val="24"/>
          <w:szCs w:val="24"/>
        </w:rPr>
      </w:pPr>
      <w:r>
        <w:rPr>
          <w:rFonts w:hint="eastAsia"/>
          <w:kern w:val="0"/>
          <w:sz w:val="24"/>
          <w:szCs w:val="24"/>
        </w:rPr>
        <w:t>7.  任务书和进度表：由指导老师填写，不参与查重和格式检测。</w:t>
      </w:r>
    </w:p>
    <w:p>
      <w:pPr>
        <w:spacing w:line="440" w:lineRule="exact"/>
        <w:ind w:firstLine="480" w:firstLineChars="200"/>
        <w:rPr>
          <w:kern w:val="0"/>
          <w:sz w:val="24"/>
          <w:szCs w:val="24"/>
        </w:rPr>
      </w:pPr>
      <w:r>
        <w:rPr>
          <w:rFonts w:hint="eastAsia"/>
          <w:kern w:val="0"/>
          <w:sz w:val="24"/>
          <w:szCs w:val="24"/>
        </w:rPr>
        <w:t>8.  各阶段的稿件提交次数：允许提交初稿3次，复稿5次。如果学生在没有评阅的情况下再次上传，则会覆盖原稿件，且此次上传不计入提交次数。复稿阶段的截止日期之前提交的最后一稿必须确保查重和格式检测均符合要求。</w:t>
      </w:r>
    </w:p>
    <w:p>
      <w:pPr>
        <w:spacing w:line="440" w:lineRule="exact"/>
        <w:ind w:firstLine="480" w:firstLineChars="200"/>
        <w:rPr>
          <w:kern w:val="0"/>
          <w:sz w:val="24"/>
          <w:szCs w:val="24"/>
        </w:rPr>
      </w:pPr>
      <w:r>
        <w:rPr>
          <w:rFonts w:hint="eastAsia"/>
          <w:kern w:val="0"/>
          <w:sz w:val="24"/>
          <w:szCs w:val="24"/>
        </w:rPr>
        <w:t xml:space="preserve">9. 各阶段截止时间：从自拟题目到复稿阶段均有建议完成的时间节点，自拟题目、开题报告以及初稿的截止时间未做严格硬性要求，但必须依次完成才能进入下一个阶段，复稿截止时间一旦到期，学生不能再提交稿件。 </w:t>
      </w:r>
    </w:p>
    <w:p>
      <w:pPr>
        <w:spacing w:line="440" w:lineRule="exact"/>
        <w:ind w:firstLine="480" w:firstLineChars="200"/>
        <w:rPr>
          <w:kern w:val="0"/>
          <w:sz w:val="24"/>
          <w:szCs w:val="24"/>
        </w:rPr>
      </w:pPr>
      <w:r>
        <w:rPr>
          <w:rFonts w:hint="eastAsia"/>
          <w:kern w:val="0"/>
          <w:sz w:val="24"/>
          <w:szCs w:val="24"/>
        </w:rPr>
        <w:t>10. 终稿确认：指导老师在复稿阶段截止后综合评审学生的论文质量、查重报告、格式检测报告，以上三项均符合要求则由指导老师点击确认为终稿，由此学生进入答辩阶段。没有进入终稿的学生此次论文写作终止。</w:t>
      </w:r>
    </w:p>
    <w:p>
      <w:pPr>
        <w:spacing w:line="440" w:lineRule="exact"/>
        <w:ind w:firstLine="482" w:firstLineChars="200"/>
        <w:rPr>
          <w:b/>
          <w:bCs/>
          <w:kern w:val="0"/>
          <w:sz w:val="24"/>
          <w:szCs w:val="24"/>
        </w:rPr>
      </w:pPr>
      <w:r>
        <w:rPr>
          <w:rFonts w:hint="eastAsia"/>
          <w:b/>
          <w:bCs/>
          <w:kern w:val="0"/>
          <w:sz w:val="24"/>
          <w:szCs w:val="24"/>
        </w:rPr>
        <w:t>三、学生撰写论文过程中注意事项</w:t>
      </w:r>
    </w:p>
    <w:p>
      <w:pPr>
        <w:spacing w:line="440" w:lineRule="exact"/>
        <w:ind w:firstLine="480" w:firstLineChars="200"/>
        <w:rPr>
          <w:kern w:val="0"/>
          <w:sz w:val="24"/>
          <w:szCs w:val="24"/>
        </w:rPr>
      </w:pPr>
      <w:r>
        <w:rPr>
          <w:rFonts w:hint="eastAsia"/>
          <w:kern w:val="0"/>
          <w:sz w:val="24"/>
          <w:szCs w:val="24"/>
        </w:rPr>
        <w:t>1．学生开题报告一旦通过，论文题目不允许再更改，如发现初稿至终稿任一阶段有换题行为，或者查重和格式检测的论文与原定题目不一致，即终止此次论文写作。</w:t>
      </w:r>
    </w:p>
    <w:p>
      <w:pPr>
        <w:spacing w:line="440" w:lineRule="exact"/>
        <w:ind w:firstLine="480" w:firstLineChars="200"/>
        <w:rPr>
          <w:kern w:val="0"/>
          <w:sz w:val="24"/>
          <w:szCs w:val="24"/>
        </w:rPr>
      </w:pPr>
      <w:r>
        <w:rPr>
          <w:kern w:val="0"/>
          <w:sz w:val="24"/>
          <w:szCs w:val="24"/>
        </w:rPr>
        <w:t>2</w:t>
      </w:r>
      <w:r>
        <w:rPr>
          <w:rFonts w:hint="eastAsia"/>
          <w:kern w:val="0"/>
          <w:sz w:val="24"/>
          <w:szCs w:val="24"/>
        </w:rPr>
        <w:t>. 指导老师给出修改意见后，如学生不作任何修改就再次上传稿件，指导老师将按情节严重程度扣除平时成绩。如出现2次及以上，平时成绩以零分计。</w:t>
      </w:r>
    </w:p>
    <w:p>
      <w:pPr>
        <w:spacing w:line="440" w:lineRule="exact"/>
        <w:ind w:firstLine="480" w:firstLineChars="200"/>
        <w:rPr>
          <w:kern w:val="0"/>
          <w:sz w:val="24"/>
          <w:szCs w:val="24"/>
        </w:rPr>
      </w:pPr>
      <w:r>
        <w:rPr>
          <w:kern w:val="0"/>
          <w:sz w:val="24"/>
          <w:szCs w:val="24"/>
        </w:rPr>
        <w:t>3</w:t>
      </w:r>
      <w:r>
        <w:rPr>
          <w:rFonts w:hint="eastAsia"/>
          <w:kern w:val="0"/>
          <w:sz w:val="24"/>
          <w:szCs w:val="24"/>
        </w:rPr>
        <w:t>.</w:t>
      </w:r>
      <w:r>
        <w:rPr>
          <w:kern w:val="0"/>
          <w:sz w:val="24"/>
          <w:szCs w:val="24"/>
        </w:rPr>
        <w:t xml:space="preserve"> </w:t>
      </w:r>
      <w:r>
        <w:rPr>
          <w:rFonts w:hint="eastAsia"/>
          <w:kern w:val="0"/>
          <w:sz w:val="24"/>
          <w:szCs w:val="24"/>
        </w:rPr>
        <w:t>论文写作周期较长，已充分考虑因节假日、短时（3日内）系统故障产生的评阅、提交等延误情况。因此，若有以上情况，均不再后延论文写作时间，请充分利用时间进行合理安排。</w:t>
      </w:r>
    </w:p>
    <w:p>
      <w:pPr>
        <w:spacing w:line="440" w:lineRule="exact"/>
        <w:ind w:firstLine="482" w:firstLineChars="200"/>
        <w:rPr>
          <w:kern w:val="0"/>
          <w:sz w:val="24"/>
          <w:szCs w:val="24"/>
        </w:rPr>
      </w:pPr>
      <w:r>
        <w:rPr>
          <w:rFonts w:hint="eastAsia"/>
          <w:b/>
          <w:bCs/>
          <w:kern w:val="0"/>
          <w:sz w:val="24"/>
          <w:szCs w:val="24"/>
        </w:rPr>
        <w:t>四、教学管理人员注意事项</w:t>
      </w:r>
    </w:p>
    <w:p>
      <w:pPr>
        <w:spacing w:line="440" w:lineRule="exact"/>
        <w:ind w:firstLine="480" w:firstLineChars="200"/>
        <w:rPr>
          <w:kern w:val="0"/>
          <w:sz w:val="24"/>
          <w:szCs w:val="24"/>
        </w:rPr>
      </w:pPr>
      <w:r>
        <w:rPr>
          <w:rFonts w:hint="eastAsia"/>
          <w:kern w:val="0"/>
          <w:sz w:val="24"/>
          <w:szCs w:val="24"/>
        </w:rPr>
        <w:t>1．教学管理人员须在毕业论文平台里的老师管理里添加指导老师的姓名、职称、联系电话，缺一不可。</w:t>
      </w:r>
    </w:p>
    <w:p>
      <w:pPr>
        <w:spacing w:line="440" w:lineRule="exact"/>
        <w:ind w:firstLine="480" w:firstLineChars="200"/>
        <w:rPr>
          <w:kern w:val="0"/>
          <w:sz w:val="24"/>
          <w:szCs w:val="24"/>
        </w:rPr>
      </w:pPr>
      <w:r>
        <w:rPr>
          <w:rFonts w:hint="eastAsia"/>
          <w:kern w:val="0"/>
          <w:sz w:val="24"/>
          <w:szCs w:val="24"/>
        </w:rPr>
        <w:t xml:space="preserve">2．平台开通后先导入此次需要参加毕业设计（论文）的学生信息，并安排指导老师，以便及时审核开题报告并确定学生选题。 </w:t>
      </w:r>
    </w:p>
    <w:p>
      <w:pPr>
        <w:spacing w:line="440" w:lineRule="exact"/>
        <w:ind w:firstLine="480" w:firstLineChars="200"/>
        <w:rPr>
          <w:kern w:val="0"/>
          <w:sz w:val="24"/>
          <w:szCs w:val="24"/>
        </w:rPr>
      </w:pPr>
      <w:r>
        <w:rPr>
          <w:rFonts w:hint="eastAsia"/>
          <w:kern w:val="0"/>
          <w:sz w:val="24"/>
          <w:szCs w:val="24"/>
        </w:rPr>
        <w:t>3．为保证毕业设计（论文）质量，各办学单位应合理安排，确保指导老师有精力、有能力更好的指导学生开展毕业设计（论文）工作。</w:t>
      </w:r>
    </w:p>
    <w:p>
      <w:pPr>
        <w:spacing w:line="440" w:lineRule="exact"/>
        <w:ind w:firstLine="482" w:firstLineChars="200"/>
        <w:rPr>
          <w:b/>
          <w:bCs/>
          <w:kern w:val="0"/>
          <w:sz w:val="24"/>
          <w:szCs w:val="24"/>
        </w:rPr>
      </w:pPr>
      <w:r>
        <w:rPr>
          <w:rFonts w:hint="eastAsia"/>
          <w:b/>
          <w:bCs/>
          <w:kern w:val="0"/>
          <w:sz w:val="24"/>
          <w:szCs w:val="24"/>
        </w:rPr>
        <w:t>五、毕业设计（论文）写作的学术诚信教育及</w:t>
      </w:r>
      <w:r>
        <w:rPr>
          <w:b/>
          <w:bCs/>
          <w:kern w:val="0"/>
          <w:sz w:val="24"/>
          <w:szCs w:val="24"/>
        </w:rPr>
        <w:t>写作动员</w:t>
      </w:r>
      <w:r>
        <w:rPr>
          <w:rFonts w:hint="eastAsia"/>
          <w:b/>
          <w:bCs/>
          <w:kern w:val="0"/>
          <w:sz w:val="24"/>
          <w:szCs w:val="24"/>
        </w:rPr>
        <w:t>工作</w:t>
      </w:r>
    </w:p>
    <w:p>
      <w:pPr>
        <w:spacing w:line="440" w:lineRule="exact"/>
        <w:ind w:firstLine="480" w:firstLineChars="200"/>
        <w:rPr>
          <w:kern w:val="0"/>
          <w:sz w:val="24"/>
          <w:szCs w:val="24"/>
        </w:rPr>
      </w:pPr>
      <w:r>
        <w:rPr>
          <w:rFonts w:hint="eastAsia"/>
          <w:kern w:val="0"/>
          <w:sz w:val="24"/>
          <w:szCs w:val="24"/>
        </w:rPr>
        <w:t> 学位论文是实现人才培养目标的重要环节，是进行科学研究训练的重要途径，是学生毕业与学位资格认证的重要依据，各办学单位要高度重视，认真学习各项文件，学习了解论文写作的相关规定和毕业论文管理系统操作流程的同时，要加强对学生学术道德、学术规范的教育，引导学生养成实事求是的科学精神和严谨认真的治学态度。指导教师要自觉加强师德师风建设，强化学科知识传授、科研方法指导和学术规范教导，教育和引领学生恪守学术诚信，遵守学术准则。保证论文写作的顺利进行。</w:t>
      </w:r>
    </w:p>
    <w:p>
      <w:pPr>
        <w:spacing w:line="440" w:lineRule="exact"/>
        <w:ind w:firstLine="482" w:firstLineChars="200"/>
        <w:rPr>
          <w:b/>
          <w:bCs/>
          <w:kern w:val="0"/>
          <w:sz w:val="24"/>
          <w:szCs w:val="24"/>
        </w:rPr>
      </w:pPr>
      <w:r>
        <w:rPr>
          <w:rFonts w:hint="eastAsia"/>
          <w:b/>
          <w:bCs/>
          <w:kern w:val="0"/>
          <w:sz w:val="24"/>
          <w:szCs w:val="24"/>
        </w:rPr>
        <w:t>六</w:t>
      </w:r>
      <w:r>
        <w:rPr>
          <w:b/>
          <w:bCs/>
          <w:kern w:val="0"/>
          <w:sz w:val="24"/>
          <w:szCs w:val="24"/>
        </w:rPr>
        <w:t>、毕业设计（论文）</w:t>
      </w:r>
      <w:r>
        <w:rPr>
          <w:rFonts w:hint="eastAsia"/>
          <w:b/>
          <w:bCs/>
          <w:kern w:val="0"/>
          <w:sz w:val="24"/>
          <w:szCs w:val="24"/>
        </w:rPr>
        <w:t>查</w:t>
      </w:r>
      <w:r>
        <w:rPr>
          <w:b/>
          <w:bCs/>
          <w:kern w:val="0"/>
          <w:sz w:val="24"/>
          <w:szCs w:val="24"/>
        </w:rPr>
        <w:t>重</w:t>
      </w:r>
      <w:r>
        <w:rPr>
          <w:rFonts w:hint="eastAsia"/>
          <w:b/>
          <w:bCs/>
          <w:kern w:val="0"/>
          <w:sz w:val="24"/>
          <w:szCs w:val="24"/>
        </w:rPr>
        <w:t>方案与格式检测</w:t>
      </w:r>
    </w:p>
    <w:p>
      <w:pPr>
        <w:spacing w:line="440" w:lineRule="exact"/>
        <w:ind w:firstLine="480" w:firstLineChars="200"/>
        <w:rPr>
          <w:kern w:val="0"/>
          <w:sz w:val="24"/>
          <w:szCs w:val="24"/>
        </w:rPr>
      </w:pPr>
      <w:r>
        <w:rPr>
          <w:rFonts w:hint="eastAsia"/>
          <w:kern w:val="0"/>
          <w:sz w:val="24"/>
          <w:szCs w:val="24"/>
        </w:rPr>
        <w:t>1．论文</w:t>
      </w:r>
      <w:r>
        <w:rPr>
          <w:kern w:val="0"/>
          <w:sz w:val="24"/>
          <w:szCs w:val="24"/>
        </w:rPr>
        <w:t>查重</w:t>
      </w:r>
      <w:r>
        <w:rPr>
          <w:rFonts w:hint="eastAsia"/>
          <w:kern w:val="0"/>
          <w:sz w:val="24"/>
          <w:szCs w:val="24"/>
        </w:rPr>
        <w:t>：学校提供一次免费查重机会。自费查重次数不限，查重费用为2.7元/千字符。参加现场答辩的学生论文查重应低于25</w:t>
      </w:r>
      <w:r>
        <w:rPr>
          <w:kern w:val="0"/>
          <w:sz w:val="24"/>
          <w:szCs w:val="24"/>
        </w:rPr>
        <w:t>%，</w:t>
      </w:r>
      <w:r>
        <w:rPr>
          <w:rFonts w:hint="eastAsia"/>
          <w:kern w:val="0"/>
          <w:sz w:val="24"/>
          <w:szCs w:val="24"/>
        </w:rPr>
        <w:t>参加书面答辩的</w:t>
      </w:r>
      <w:r>
        <w:rPr>
          <w:kern w:val="0"/>
          <w:sz w:val="24"/>
          <w:szCs w:val="24"/>
        </w:rPr>
        <w:t>学生</w:t>
      </w:r>
      <w:r>
        <w:rPr>
          <w:rFonts w:hint="eastAsia"/>
          <w:kern w:val="0"/>
          <w:sz w:val="24"/>
          <w:szCs w:val="24"/>
        </w:rPr>
        <w:t>论文查重应</w:t>
      </w:r>
      <w:r>
        <w:rPr>
          <w:kern w:val="0"/>
          <w:sz w:val="24"/>
          <w:szCs w:val="24"/>
        </w:rPr>
        <w:t>低于</w:t>
      </w:r>
      <w:r>
        <w:rPr>
          <w:rFonts w:hint="eastAsia"/>
          <w:kern w:val="0"/>
          <w:sz w:val="24"/>
          <w:szCs w:val="24"/>
        </w:rPr>
        <w:t>30%。</w:t>
      </w:r>
    </w:p>
    <w:p>
      <w:pPr>
        <w:spacing w:line="440" w:lineRule="exact"/>
        <w:ind w:firstLine="480" w:firstLineChars="200"/>
        <w:rPr>
          <w:kern w:val="0"/>
          <w:sz w:val="24"/>
          <w:szCs w:val="24"/>
        </w:rPr>
      </w:pPr>
      <w:r>
        <w:rPr>
          <w:rFonts w:hint="eastAsia"/>
          <w:kern w:val="0"/>
          <w:sz w:val="24"/>
          <w:szCs w:val="24"/>
        </w:rPr>
        <w:t>2．论文格式检测：不限次数，检测费用由学校承担。格式检测结果差错率千分之一以内为合格。</w:t>
      </w:r>
    </w:p>
    <w:p>
      <w:pPr>
        <w:spacing w:line="440" w:lineRule="exact"/>
        <w:ind w:firstLine="480" w:firstLineChars="200"/>
        <w:rPr>
          <w:color w:val="FF0000"/>
          <w:kern w:val="0"/>
          <w:sz w:val="24"/>
          <w:szCs w:val="24"/>
        </w:rPr>
      </w:pPr>
      <w:r>
        <w:rPr>
          <w:kern w:val="0"/>
          <w:sz w:val="24"/>
          <w:szCs w:val="24"/>
        </w:rPr>
        <w:t>3</w:t>
      </w:r>
      <w:r>
        <w:rPr>
          <w:rFonts w:hint="eastAsia"/>
          <w:kern w:val="0"/>
          <w:sz w:val="24"/>
          <w:szCs w:val="24"/>
        </w:rPr>
        <w:t>．</w:t>
      </w:r>
      <w:r>
        <w:rPr>
          <w:rFonts w:hint="eastAsia"/>
          <w:color w:val="000000" w:themeColor="text1"/>
          <w:kern w:val="0"/>
          <w:sz w:val="24"/>
          <w:szCs w:val="24"/>
          <w14:textFill>
            <w14:solidFill>
              <w14:schemeClr w14:val="tx1"/>
            </w14:solidFill>
          </w14:textFill>
        </w:rPr>
        <w:t>学生必须在复稿阶段的截止日期之前完成最后一稿的查重和格式检测，指导老师将根据此次查重和格式检测的结果作为能否进入终稿的判定依据。</w:t>
      </w:r>
    </w:p>
    <w:p>
      <w:pPr>
        <w:spacing w:line="440" w:lineRule="exact"/>
        <w:ind w:firstLine="482" w:firstLineChars="200"/>
        <w:rPr>
          <w:kern w:val="0"/>
          <w:sz w:val="24"/>
          <w:szCs w:val="24"/>
        </w:rPr>
      </w:pPr>
      <w:r>
        <w:rPr>
          <w:rFonts w:hint="eastAsia"/>
          <w:b/>
          <w:bCs/>
          <w:kern w:val="0"/>
          <w:sz w:val="24"/>
          <w:szCs w:val="24"/>
        </w:rPr>
        <w:t>七</w:t>
      </w:r>
      <w:r>
        <w:rPr>
          <w:b/>
          <w:bCs/>
          <w:kern w:val="0"/>
          <w:sz w:val="24"/>
          <w:szCs w:val="24"/>
        </w:rPr>
        <w:t>、毕业论文写作进度</w:t>
      </w:r>
    </w:p>
    <w:p>
      <w:pPr>
        <w:spacing w:line="440" w:lineRule="exact"/>
        <w:ind w:firstLine="480" w:firstLineChars="200"/>
        <w:rPr>
          <w:b/>
          <w:bCs/>
          <w:kern w:val="0"/>
          <w:sz w:val="24"/>
          <w:szCs w:val="24"/>
        </w:rPr>
      </w:pPr>
      <w:r>
        <w:rPr>
          <w:kern w:val="0"/>
          <w:sz w:val="24"/>
          <w:szCs w:val="24"/>
        </w:rPr>
        <w:t>各阶段时间节点和任务安排：</w:t>
      </w:r>
      <w:r>
        <w:rPr>
          <w:b/>
          <w:bCs/>
          <w:kern w:val="0"/>
          <w:sz w:val="24"/>
          <w:szCs w:val="24"/>
        </w:rPr>
        <w:t xml:space="preserve">   </w:t>
      </w:r>
    </w:p>
    <w:tbl>
      <w:tblPr>
        <w:tblStyle w:val="5"/>
        <w:tblW w:w="8361" w:type="dxa"/>
        <w:tblInd w:w="108" w:type="dxa"/>
        <w:tblLayout w:type="autofit"/>
        <w:tblCellMar>
          <w:top w:w="0" w:type="dxa"/>
          <w:left w:w="108" w:type="dxa"/>
          <w:bottom w:w="0" w:type="dxa"/>
          <w:right w:w="108" w:type="dxa"/>
        </w:tblCellMar>
      </w:tblPr>
      <w:tblGrid>
        <w:gridCol w:w="4326"/>
        <w:gridCol w:w="4035"/>
      </w:tblGrid>
      <w:tr>
        <w:tblPrEx>
          <w:tblCellMar>
            <w:top w:w="0" w:type="dxa"/>
            <w:left w:w="108" w:type="dxa"/>
            <w:bottom w:w="0" w:type="dxa"/>
            <w:right w:w="108" w:type="dxa"/>
          </w:tblCellMar>
        </w:tblPrEx>
        <w:trPr>
          <w:trHeight w:val="567" w:hRule="atLeast"/>
        </w:trPr>
        <w:tc>
          <w:tcPr>
            <w:tcW w:w="43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ind w:firstLine="482" w:firstLineChars="200"/>
              <w:rPr>
                <w:rFonts w:ascii="宋体" w:hAnsi="宋体" w:cs="宋体"/>
                <w:b/>
                <w:kern w:val="0"/>
                <w:sz w:val="24"/>
                <w:szCs w:val="24"/>
              </w:rPr>
            </w:pPr>
            <w:r>
              <w:rPr>
                <w:rFonts w:hint="eastAsia" w:ascii="宋体" w:hAnsi="宋体" w:cs="宋体"/>
                <w:b/>
                <w:kern w:val="0"/>
                <w:sz w:val="24"/>
                <w:szCs w:val="24"/>
              </w:rPr>
              <w:t>时间  （</w:t>
            </w:r>
            <w:r>
              <w:rPr>
                <w:rFonts w:asciiTheme="minorEastAsia" w:hAnsiTheme="minorEastAsia"/>
                <w:b/>
                <w:bCs/>
                <w:sz w:val="24"/>
                <w:szCs w:val="24"/>
              </w:rPr>
              <w:t>2022</w:t>
            </w:r>
            <w:r>
              <w:rPr>
                <w:rFonts w:hint="eastAsia" w:asciiTheme="minorEastAsia" w:hAnsiTheme="minorEastAsia"/>
                <w:b/>
                <w:bCs/>
                <w:sz w:val="24"/>
                <w:szCs w:val="24"/>
              </w:rPr>
              <w:t>年）</w:t>
            </w:r>
          </w:p>
        </w:tc>
        <w:tc>
          <w:tcPr>
            <w:tcW w:w="4035" w:type="dxa"/>
            <w:tcBorders>
              <w:top w:val="single" w:color="auto" w:sz="4" w:space="0"/>
              <w:left w:val="nil"/>
              <w:bottom w:val="single" w:color="auto" w:sz="4" w:space="0"/>
              <w:right w:val="single" w:color="auto" w:sz="4" w:space="0"/>
            </w:tcBorders>
            <w:shd w:val="clear" w:color="auto" w:fill="auto"/>
            <w:vAlign w:val="center"/>
          </w:tcPr>
          <w:p>
            <w:pPr>
              <w:spacing w:line="440" w:lineRule="exact"/>
              <w:ind w:firstLine="482" w:firstLineChars="200"/>
              <w:rPr>
                <w:rFonts w:ascii="宋体" w:hAnsi="宋体" w:cs="宋体"/>
                <w:b/>
                <w:kern w:val="0"/>
                <w:sz w:val="24"/>
                <w:szCs w:val="24"/>
              </w:rPr>
            </w:pPr>
            <w:r>
              <w:rPr>
                <w:rFonts w:hint="eastAsia" w:ascii="宋体" w:hAnsi="宋体" w:cs="宋体"/>
                <w:b/>
                <w:kern w:val="0"/>
                <w:sz w:val="24"/>
                <w:szCs w:val="24"/>
              </w:rPr>
              <w:t>任务</w:t>
            </w:r>
          </w:p>
        </w:tc>
      </w:tr>
      <w:tr>
        <w:tblPrEx>
          <w:tblCellMar>
            <w:top w:w="0" w:type="dxa"/>
            <w:left w:w="108" w:type="dxa"/>
            <w:bottom w:w="0" w:type="dxa"/>
            <w:right w:w="108" w:type="dxa"/>
          </w:tblCellMar>
        </w:tblPrEx>
        <w:trPr>
          <w:trHeight w:val="567" w:hRule="atLeast"/>
        </w:trPr>
        <w:tc>
          <w:tcPr>
            <w:tcW w:w="43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sz w:val="24"/>
              </w:rPr>
            </w:pPr>
            <w:r>
              <w:rPr>
                <w:rFonts w:hint="eastAsia" w:asciiTheme="minorEastAsia" w:hAnsiTheme="minorEastAsia"/>
                <w:sz w:val="24"/>
              </w:rPr>
              <w:t>7月</w:t>
            </w:r>
            <w:r>
              <w:rPr>
                <w:rFonts w:asciiTheme="minorEastAsia" w:hAnsiTheme="minorEastAsia"/>
                <w:sz w:val="24"/>
              </w:rPr>
              <w:t>11</w:t>
            </w:r>
            <w:r>
              <w:rPr>
                <w:rFonts w:hint="eastAsia" w:asciiTheme="minorEastAsia" w:hAnsiTheme="minorEastAsia"/>
                <w:sz w:val="24"/>
              </w:rPr>
              <w:t>日9:0</w:t>
            </w:r>
            <w:r>
              <w:rPr>
                <w:rFonts w:asciiTheme="minorEastAsia" w:hAnsiTheme="minorEastAsia"/>
                <w:sz w:val="24"/>
              </w:rPr>
              <w:t>0</w:t>
            </w:r>
            <w:r>
              <w:rPr>
                <w:rFonts w:hint="eastAsia" w:asciiTheme="minorEastAsia" w:hAnsiTheme="minorEastAsia"/>
                <w:sz w:val="24"/>
              </w:rPr>
              <w:t>—</w:t>
            </w:r>
            <w:r>
              <w:rPr>
                <w:rFonts w:asciiTheme="minorEastAsia" w:hAnsiTheme="minorEastAsia"/>
                <w:sz w:val="24"/>
              </w:rPr>
              <w:t>9</w:t>
            </w:r>
            <w:r>
              <w:rPr>
                <w:rFonts w:hint="eastAsia" w:asciiTheme="minorEastAsia" w:hAnsiTheme="minorEastAsia"/>
                <w:sz w:val="24"/>
              </w:rPr>
              <w:t>月</w:t>
            </w:r>
            <w:r>
              <w:rPr>
                <w:rFonts w:asciiTheme="minorEastAsia" w:hAnsiTheme="minorEastAsia"/>
                <w:sz w:val="24"/>
              </w:rPr>
              <w:t>1</w:t>
            </w:r>
            <w:r>
              <w:rPr>
                <w:rFonts w:hint="eastAsia" w:asciiTheme="minorEastAsia" w:hAnsiTheme="minorEastAsia"/>
                <w:sz w:val="24"/>
              </w:rPr>
              <w:t>日1</w:t>
            </w:r>
            <w:r>
              <w:rPr>
                <w:rFonts w:asciiTheme="minorEastAsia" w:hAnsiTheme="minorEastAsia"/>
                <w:sz w:val="24"/>
              </w:rPr>
              <w:t>8</w:t>
            </w:r>
            <w:r>
              <w:rPr>
                <w:rFonts w:hint="eastAsia" w:asciiTheme="minorEastAsia" w:hAnsiTheme="minorEastAsia"/>
                <w:sz w:val="24"/>
              </w:rPr>
              <w:t>:0</w:t>
            </w:r>
            <w:r>
              <w:rPr>
                <w:rFonts w:asciiTheme="minorEastAsia" w:hAnsiTheme="minorEastAsia"/>
                <w:sz w:val="24"/>
              </w:rPr>
              <w:t>0</w:t>
            </w:r>
          </w:p>
        </w:tc>
        <w:tc>
          <w:tcPr>
            <w:tcW w:w="4035" w:type="dxa"/>
            <w:tcBorders>
              <w:top w:val="single" w:color="auto" w:sz="4" w:space="0"/>
              <w:left w:val="nil"/>
              <w:bottom w:val="single" w:color="auto" w:sz="4" w:space="0"/>
              <w:right w:val="single" w:color="auto" w:sz="4" w:space="0"/>
            </w:tcBorders>
            <w:shd w:val="clear" w:color="auto" w:fill="auto"/>
            <w:vAlign w:val="center"/>
          </w:tcPr>
          <w:p>
            <w:pPr>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szCs w:val="21"/>
              </w:rPr>
              <w:t>确定答辩方式、自拟</w:t>
            </w:r>
            <w:r>
              <w:rPr>
                <w:rFonts w:asciiTheme="minorEastAsia" w:hAnsiTheme="minorEastAsia" w:eastAsiaTheme="minorEastAsia"/>
                <w:szCs w:val="21"/>
              </w:rPr>
              <w:t>题</w:t>
            </w:r>
            <w:r>
              <w:rPr>
                <w:rFonts w:hint="eastAsia" w:asciiTheme="minorEastAsia" w:hAnsiTheme="minorEastAsia" w:eastAsiaTheme="minorEastAsia"/>
                <w:szCs w:val="21"/>
              </w:rPr>
              <w:t>目、开题报告阶段</w:t>
            </w:r>
          </w:p>
        </w:tc>
      </w:tr>
      <w:tr>
        <w:tblPrEx>
          <w:tblCellMar>
            <w:top w:w="0" w:type="dxa"/>
            <w:left w:w="108" w:type="dxa"/>
            <w:bottom w:w="0" w:type="dxa"/>
            <w:right w:w="108" w:type="dxa"/>
          </w:tblCellMar>
        </w:tblPrEx>
        <w:trPr>
          <w:trHeight w:val="567" w:hRule="atLeast"/>
        </w:trPr>
        <w:tc>
          <w:tcPr>
            <w:tcW w:w="4326" w:type="dxa"/>
            <w:tcBorders>
              <w:top w:val="nil"/>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sz w:val="24"/>
              </w:rPr>
            </w:pPr>
            <w:r>
              <w:rPr>
                <w:rFonts w:hint="eastAsia" w:asciiTheme="minorEastAsia" w:hAnsiTheme="minorEastAsia"/>
                <w:sz w:val="24"/>
              </w:rPr>
              <w:t>9月</w:t>
            </w:r>
            <w:r>
              <w:rPr>
                <w:rFonts w:asciiTheme="minorEastAsia" w:hAnsiTheme="minorEastAsia"/>
                <w:sz w:val="24"/>
              </w:rPr>
              <w:t>1</w:t>
            </w:r>
            <w:r>
              <w:rPr>
                <w:rFonts w:hint="eastAsia" w:asciiTheme="minorEastAsia" w:hAnsiTheme="minorEastAsia"/>
                <w:sz w:val="24"/>
              </w:rPr>
              <w:t>日1</w:t>
            </w:r>
            <w:r>
              <w:rPr>
                <w:rFonts w:asciiTheme="minorEastAsia" w:hAnsiTheme="minorEastAsia"/>
                <w:sz w:val="24"/>
              </w:rPr>
              <w:t>8</w:t>
            </w:r>
            <w:r>
              <w:rPr>
                <w:rFonts w:hint="eastAsia" w:asciiTheme="minorEastAsia" w:hAnsiTheme="minorEastAsia"/>
                <w:sz w:val="24"/>
              </w:rPr>
              <w:t>:0</w:t>
            </w:r>
            <w:r>
              <w:rPr>
                <w:rFonts w:asciiTheme="minorEastAsia" w:hAnsiTheme="minorEastAsia"/>
                <w:sz w:val="24"/>
              </w:rPr>
              <w:t>1</w:t>
            </w:r>
            <w:r>
              <w:rPr>
                <w:rFonts w:hint="eastAsia" w:asciiTheme="minorEastAsia" w:hAnsiTheme="minorEastAsia"/>
                <w:sz w:val="24"/>
              </w:rPr>
              <w:t>—</w:t>
            </w:r>
            <w:r>
              <w:rPr>
                <w:rFonts w:asciiTheme="minorEastAsia" w:hAnsiTheme="minorEastAsia"/>
                <w:sz w:val="24"/>
              </w:rPr>
              <w:t>10</w:t>
            </w:r>
            <w:r>
              <w:rPr>
                <w:rFonts w:hint="eastAsia" w:asciiTheme="minorEastAsia" w:hAnsiTheme="minorEastAsia"/>
                <w:sz w:val="24"/>
              </w:rPr>
              <w:t>月</w:t>
            </w:r>
            <w:r>
              <w:rPr>
                <w:rFonts w:asciiTheme="minorEastAsia" w:hAnsiTheme="minorEastAsia"/>
                <w:sz w:val="24"/>
              </w:rPr>
              <w:t>8</w:t>
            </w:r>
            <w:r>
              <w:rPr>
                <w:rFonts w:hint="eastAsia" w:asciiTheme="minorEastAsia" w:hAnsiTheme="minorEastAsia"/>
                <w:sz w:val="24"/>
              </w:rPr>
              <w:t>日1</w:t>
            </w:r>
            <w:r>
              <w:rPr>
                <w:rFonts w:asciiTheme="minorEastAsia" w:hAnsiTheme="minorEastAsia"/>
                <w:sz w:val="24"/>
              </w:rPr>
              <w:t>8</w:t>
            </w:r>
            <w:r>
              <w:rPr>
                <w:rFonts w:hint="eastAsia" w:asciiTheme="minorEastAsia" w:hAnsiTheme="minorEastAsia"/>
                <w:sz w:val="24"/>
              </w:rPr>
              <w:t>:0</w:t>
            </w:r>
            <w:r>
              <w:rPr>
                <w:rFonts w:asciiTheme="minorEastAsia" w:hAnsiTheme="minorEastAsia"/>
                <w:sz w:val="24"/>
              </w:rPr>
              <w:t>0</w:t>
            </w:r>
          </w:p>
        </w:tc>
        <w:tc>
          <w:tcPr>
            <w:tcW w:w="4035" w:type="dxa"/>
            <w:tcBorders>
              <w:top w:val="nil"/>
              <w:left w:val="nil"/>
              <w:bottom w:val="single" w:color="auto" w:sz="4" w:space="0"/>
              <w:right w:val="single" w:color="auto" w:sz="4" w:space="0"/>
            </w:tcBorders>
            <w:shd w:val="clear" w:color="auto" w:fill="auto"/>
            <w:vAlign w:val="center"/>
          </w:tcPr>
          <w:p>
            <w:pPr>
              <w:spacing w:line="440" w:lineRule="exact"/>
              <w:jc w:val="left"/>
              <w:rPr>
                <w:rFonts w:asciiTheme="minorEastAsia" w:hAnsiTheme="minorEastAsia" w:eastAsiaTheme="minorEastAsia"/>
                <w:sz w:val="24"/>
                <w:szCs w:val="24"/>
              </w:rPr>
            </w:pPr>
            <w:r>
              <w:rPr>
                <w:rFonts w:asciiTheme="minorEastAsia" w:hAnsiTheme="minorEastAsia" w:eastAsiaTheme="minorEastAsia"/>
                <w:sz w:val="24"/>
                <w:szCs w:val="24"/>
              </w:rPr>
              <w:t>初稿</w:t>
            </w:r>
            <w:r>
              <w:rPr>
                <w:rFonts w:hint="eastAsia" w:asciiTheme="minorEastAsia" w:hAnsiTheme="minorEastAsia" w:eastAsiaTheme="minorEastAsia"/>
                <w:sz w:val="24"/>
                <w:szCs w:val="24"/>
              </w:rPr>
              <w:t>阶段</w:t>
            </w:r>
          </w:p>
        </w:tc>
      </w:tr>
      <w:tr>
        <w:tblPrEx>
          <w:tblCellMar>
            <w:top w:w="0" w:type="dxa"/>
            <w:left w:w="108" w:type="dxa"/>
            <w:bottom w:w="0" w:type="dxa"/>
            <w:right w:w="108" w:type="dxa"/>
          </w:tblCellMar>
        </w:tblPrEx>
        <w:trPr>
          <w:trHeight w:val="567" w:hRule="atLeast"/>
        </w:trPr>
        <w:tc>
          <w:tcPr>
            <w:tcW w:w="4326" w:type="dxa"/>
            <w:tcBorders>
              <w:top w:val="nil"/>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sz w:val="24"/>
              </w:rPr>
            </w:pPr>
            <w:r>
              <w:rPr>
                <w:rFonts w:asciiTheme="minorEastAsia" w:hAnsiTheme="minorEastAsia"/>
                <w:sz w:val="24"/>
              </w:rPr>
              <w:t>10</w:t>
            </w:r>
            <w:r>
              <w:rPr>
                <w:rFonts w:hint="eastAsia" w:asciiTheme="minorEastAsia" w:hAnsiTheme="minorEastAsia"/>
                <w:sz w:val="24"/>
              </w:rPr>
              <w:t>月</w:t>
            </w:r>
            <w:r>
              <w:rPr>
                <w:rFonts w:asciiTheme="minorEastAsia" w:hAnsiTheme="minorEastAsia"/>
                <w:sz w:val="24"/>
              </w:rPr>
              <w:t>8</w:t>
            </w:r>
            <w:r>
              <w:rPr>
                <w:rFonts w:hint="eastAsia" w:asciiTheme="minorEastAsia" w:hAnsiTheme="minorEastAsia"/>
                <w:sz w:val="24"/>
              </w:rPr>
              <w:t>日1</w:t>
            </w:r>
            <w:r>
              <w:rPr>
                <w:rFonts w:asciiTheme="minorEastAsia" w:hAnsiTheme="minorEastAsia"/>
                <w:sz w:val="24"/>
              </w:rPr>
              <w:t>8</w:t>
            </w:r>
            <w:r>
              <w:rPr>
                <w:rFonts w:hint="eastAsia" w:asciiTheme="minorEastAsia" w:hAnsiTheme="minorEastAsia"/>
                <w:sz w:val="24"/>
              </w:rPr>
              <w:t>:0</w:t>
            </w:r>
            <w:r>
              <w:rPr>
                <w:rFonts w:asciiTheme="minorEastAsia" w:hAnsiTheme="minorEastAsia"/>
                <w:sz w:val="24"/>
              </w:rPr>
              <w:t>1</w:t>
            </w:r>
            <w:r>
              <w:rPr>
                <w:rFonts w:hint="eastAsia" w:asciiTheme="minorEastAsia" w:hAnsiTheme="minorEastAsia"/>
                <w:sz w:val="24"/>
              </w:rPr>
              <w:t>—</w:t>
            </w:r>
            <w:r>
              <w:rPr>
                <w:rFonts w:asciiTheme="minorEastAsia" w:hAnsiTheme="minorEastAsia"/>
                <w:sz w:val="24"/>
              </w:rPr>
              <w:t>11</w:t>
            </w:r>
            <w:r>
              <w:rPr>
                <w:rFonts w:hint="eastAsia" w:asciiTheme="minorEastAsia" w:hAnsiTheme="minorEastAsia"/>
                <w:sz w:val="24"/>
              </w:rPr>
              <w:t>月</w:t>
            </w:r>
            <w:r>
              <w:rPr>
                <w:rFonts w:asciiTheme="minorEastAsia" w:hAnsiTheme="minorEastAsia"/>
                <w:sz w:val="24"/>
              </w:rPr>
              <w:t>18</w:t>
            </w:r>
            <w:r>
              <w:rPr>
                <w:rFonts w:hint="eastAsia" w:asciiTheme="minorEastAsia" w:hAnsiTheme="minorEastAsia"/>
                <w:sz w:val="24"/>
              </w:rPr>
              <w:t>日1</w:t>
            </w:r>
            <w:r>
              <w:rPr>
                <w:rFonts w:asciiTheme="minorEastAsia" w:hAnsiTheme="minorEastAsia"/>
                <w:sz w:val="24"/>
              </w:rPr>
              <w:t>8</w:t>
            </w:r>
            <w:r>
              <w:rPr>
                <w:rFonts w:hint="eastAsia" w:asciiTheme="minorEastAsia" w:hAnsiTheme="minorEastAsia"/>
                <w:sz w:val="24"/>
              </w:rPr>
              <w:t>:0</w:t>
            </w:r>
            <w:r>
              <w:rPr>
                <w:rFonts w:asciiTheme="minorEastAsia" w:hAnsiTheme="minorEastAsia"/>
                <w:sz w:val="24"/>
              </w:rPr>
              <w:t>0</w:t>
            </w:r>
          </w:p>
        </w:tc>
        <w:tc>
          <w:tcPr>
            <w:tcW w:w="4035" w:type="dxa"/>
            <w:tcBorders>
              <w:top w:val="nil"/>
              <w:left w:val="nil"/>
              <w:bottom w:val="single" w:color="auto" w:sz="4" w:space="0"/>
              <w:right w:val="single" w:color="auto" w:sz="4" w:space="0"/>
            </w:tcBorders>
            <w:shd w:val="clear" w:color="auto" w:fill="auto"/>
            <w:vAlign w:val="center"/>
          </w:tcPr>
          <w:p>
            <w:pPr>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复</w:t>
            </w:r>
            <w:r>
              <w:rPr>
                <w:rFonts w:asciiTheme="minorEastAsia" w:hAnsiTheme="minorEastAsia" w:eastAsiaTheme="minorEastAsia"/>
                <w:sz w:val="24"/>
                <w:szCs w:val="24"/>
              </w:rPr>
              <w:t>稿</w:t>
            </w:r>
            <w:r>
              <w:rPr>
                <w:rFonts w:hint="eastAsia" w:asciiTheme="minorEastAsia" w:hAnsiTheme="minorEastAsia" w:eastAsiaTheme="minorEastAsia"/>
                <w:sz w:val="24"/>
                <w:szCs w:val="24"/>
              </w:rPr>
              <w:t>阶段</w:t>
            </w:r>
          </w:p>
        </w:tc>
      </w:tr>
      <w:tr>
        <w:tblPrEx>
          <w:tblCellMar>
            <w:top w:w="0" w:type="dxa"/>
            <w:left w:w="108" w:type="dxa"/>
            <w:bottom w:w="0" w:type="dxa"/>
            <w:right w:w="108" w:type="dxa"/>
          </w:tblCellMar>
        </w:tblPrEx>
        <w:trPr>
          <w:trHeight w:val="567" w:hRule="atLeast"/>
        </w:trPr>
        <w:tc>
          <w:tcPr>
            <w:tcW w:w="4326" w:type="dxa"/>
            <w:tcBorders>
              <w:top w:val="nil"/>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sz w:val="24"/>
              </w:rPr>
            </w:pPr>
            <w:r>
              <w:rPr>
                <w:rFonts w:asciiTheme="minorEastAsia" w:hAnsiTheme="minorEastAsia"/>
                <w:sz w:val="24"/>
              </w:rPr>
              <w:t>11</w:t>
            </w:r>
            <w:r>
              <w:rPr>
                <w:rFonts w:hint="eastAsia" w:asciiTheme="minorEastAsia" w:hAnsiTheme="minorEastAsia"/>
                <w:sz w:val="24"/>
              </w:rPr>
              <w:t>月</w:t>
            </w:r>
            <w:r>
              <w:rPr>
                <w:rFonts w:asciiTheme="minorEastAsia" w:hAnsiTheme="minorEastAsia"/>
                <w:sz w:val="24"/>
              </w:rPr>
              <w:t>18</w:t>
            </w:r>
            <w:r>
              <w:rPr>
                <w:rFonts w:hint="eastAsia" w:asciiTheme="minorEastAsia" w:hAnsiTheme="minorEastAsia"/>
                <w:sz w:val="24"/>
              </w:rPr>
              <w:t>日1</w:t>
            </w:r>
            <w:r>
              <w:rPr>
                <w:rFonts w:asciiTheme="minorEastAsia" w:hAnsiTheme="minorEastAsia"/>
                <w:sz w:val="24"/>
              </w:rPr>
              <w:t>8</w:t>
            </w:r>
            <w:r>
              <w:rPr>
                <w:rFonts w:hint="eastAsia" w:asciiTheme="minorEastAsia" w:hAnsiTheme="minorEastAsia"/>
                <w:sz w:val="24"/>
              </w:rPr>
              <w:t>:0</w:t>
            </w:r>
            <w:r>
              <w:rPr>
                <w:rFonts w:asciiTheme="minorEastAsia" w:hAnsiTheme="minorEastAsia"/>
                <w:sz w:val="24"/>
              </w:rPr>
              <w:t>1</w:t>
            </w:r>
            <w:r>
              <w:rPr>
                <w:rFonts w:hint="eastAsia" w:asciiTheme="minorEastAsia" w:hAnsiTheme="minorEastAsia"/>
                <w:sz w:val="24"/>
              </w:rPr>
              <w:t>—11月</w:t>
            </w:r>
            <w:r>
              <w:rPr>
                <w:rFonts w:asciiTheme="minorEastAsia" w:hAnsiTheme="minorEastAsia"/>
                <w:sz w:val="24"/>
              </w:rPr>
              <w:t>25</w:t>
            </w:r>
            <w:r>
              <w:rPr>
                <w:rFonts w:hint="eastAsia" w:asciiTheme="minorEastAsia" w:hAnsiTheme="minorEastAsia"/>
                <w:sz w:val="24"/>
              </w:rPr>
              <w:t>日1</w:t>
            </w:r>
            <w:r>
              <w:rPr>
                <w:rFonts w:asciiTheme="minorEastAsia" w:hAnsiTheme="minorEastAsia"/>
                <w:sz w:val="24"/>
              </w:rPr>
              <w:t>8</w:t>
            </w:r>
            <w:r>
              <w:rPr>
                <w:rFonts w:hint="eastAsia" w:asciiTheme="minorEastAsia" w:hAnsiTheme="minorEastAsia"/>
                <w:sz w:val="24"/>
              </w:rPr>
              <w:t>:0</w:t>
            </w:r>
            <w:r>
              <w:rPr>
                <w:rFonts w:asciiTheme="minorEastAsia" w:hAnsiTheme="minorEastAsia"/>
                <w:sz w:val="24"/>
              </w:rPr>
              <w:t>0</w:t>
            </w:r>
          </w:p>
        </w:tc>
        <w:tc>
          <w:tcPr>
            <w:tcW w:w="4035" w:type="dxa"/>
            <w:tcBorders>
              <w:top w:val="nil"/>
              <w:left w:val="nil"/>
              <w:bottom w:val="single" w:color="auto" w:sz="4" w:space="0"/>
              <w:right w:val="single" w:color="auto" w:sz="4" w:space="0"/>
            </w:tcBorders>
            <w:shd w:val="clear" w:color="auto" w:fill="auto"/>
            <w:vAlign w:val="center"/>
          </w:tcPr>
          <w:p>
            <w:pPr>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指导教师审核确定</w:t>
            </w:r>
            <w:r>
              <w:rPr>
                <w:rFonts w:asciiTheme="minorEastAsia" w:hAnsiTheme="minorEastAsia" w:eastAsiaTheme="minorEastAsia"/>
                <w:sz w:val="24"/>
                <w:szCs w:val="24"/>
              </w:rPr>
              <w:t>终稿</w:t>
            </w:r>
          </w:p>
        </w:tc>
      </w:tr>
      <w:tr>
        <w:tblPrEx>
          <w:tblCellMar>
            <w:top w:w="0" w:type="dxa"/>
            <w:left w:w="108" w:type="dxa"/>
            <w:bottom w:w="0" w:type="dxa"/>
            <w:right w:w="108" w:type="dxa"/>
          </w:tblCellMar>
        </w:tblPrEx>
        <w:trPr>
          <w:trHeight w:val="567" w:hRule="atLeast"/>
        </w:trPr>
        <w:tc>
          <w:tcPr>
            <w:tcW w:w="4326" w:type="dxa"/>
            <w:tcBorders>
              <w:top w:val="nil"/>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sz w:val="24"/>
              </w:rPr>
            </w:pPr>
            <w:r>
              <w:rPr>
                <w:rFonts w:hint="eastAsia" w:asciiTheme="minorEastAsia" w:hAnsiTheme="minorEastAsia"/>
                <w:sz w:val="24"/>
              </w:rPr>
              <w:t>11月</w:t>
            </w:r>
            <w:r>
              <w:rPr>
                <w:rFonts w:asciiTheme="minorEastAsia" w:hAnsiTheme="minorEastAsia"/>
                <w:sz w:val="24"/>
              </w:rPr>
              <w:t>25</w:t>
            </w:r>
            <w:r>
              <w:rPr>
                <w:rFonts w:hint="eastAsia" w:asciiTheme="minorEastAsia" w:hAnsiTheme="minorEastAsia"/>
                <w:sz w:val="24"/>
              </w:rPr>
              <w:t>日1</w:t>
            </w:r>
            <w:r>
              <w:rPr>
                <w:rFonts w:asciiTheme="minorEastAsia" w:hAnsiTheme="minorEastAsia"/>
                <w:sz w:val="24"/>
              </w:rPr>
              <w:t>8</w:t>
            </w:r>
            <w:r>
              <w:rPr>
                <w:rFonts w:hint="eastAsia" w:asciiTheme="minorEastAsia" w:hAnsiTheme="minorEastAsia"/>
                <w:sz w:val="24"/>
              </w:rPr>
              <w:t>:0</w:t>
            </w:r>
            <w:r>
              <w:rPr>
                <w:rFonts w:asciiTheme="minorEastAsia" w:hAnsiTheme="minorEastAsia"/>
                <w:sz w:val="24"/>
              </w:rPr>
              <w:t>1</w:t>
            </w:r>
            <w:r>
              <w:rPr>
                <w:rFonts w:hint="eastAsia" w:asciiTheme="minorEastAsia" w:hAnsiTheme="minorEastAsia"/>
                <w:sz w:val="24"/>
              </w:rPr>
              <w:t>-</w:t>
            </w:r>
            <w:r>
              <w:rPr>
                <w:rFonts w:asciiTheme="minorEastAsia" w:hAnsiTheme="minorEastAsia"/>
                <w:sz w:val="24"/>
              </w:rPr>
              <w:t>1</w:t>
            </w:r>
            <w:r>
              <w:rPr>
                <w:rFonts w:hint="eastAsia" w:asciiTheme="minorEastAsia" w:hAnsiTheme="minorEastAsia"/>
                <w:sz w:val="24"/>
              </w:rPr>
              <w:t>2月1</w:t>
            </w:r>
            <w:r>
              <w:rPr>
                <w:rFonts w:asciiTheme="minorEastAsia" w:hAnsiTheme="minorEastAsia"/>
                <w:sz w:val="24"/>
              </w:rPr>
              <w:t>9</w:t>
            </w:r>
            <w:r>
              <w:rPr>
                <w:rFonts w:hint="eastAsia" w:asciiTheme="minorEastAsia" w:hAnsiTheme="minorEastAsia"/>
                <w:sz w:val="24"/>
              </w:rPr>
              <w:t>日1</w:t>
            </w:r>
            <w:r>
              <w:rPr>
                <w:rFonts w:asciiTheme="minorEastAsia" w:hAnsiTheme="minorEastAsia"/>
                <w:sz w:val="24"/>
              </w:rPr>
              <w:t>8</w:t>
            </w:r>
            <w:r>
              <w:rPr>
                <w:rFonts w:hint="eastAsia" w:asciiTheme="minorEastAsia" w:hAnsiTheme="minorEastAsia"/>
                <w:sz w:val="24"/>
              </w:rPr>
              <w:t>:0</w:t>
            </w:r>
            <w:r>
              <w:rPr>
                <w:rFonts w:asciiTheme="minorEastAsia" w:hAnsiTheme="minorEastAsia"/>
                <w:sz w:val="24"/>
              </w:rPr>
              <w:t>0</w:t>
            </w:r>
          </w:p>
        </w:tc>
        <w:tc>
          <w:tcPr>
            <w:tcW w:w="4035" w:type="dxa"/>
            <w:tcBorders>
              <w:top w:val="nil"/>
              <w:left w:val="nil"/>
              <w:bottom w:val="single" w:color="auto" w:sz="4" w:space="0"/>
              <w:right w:val="single" w:color="auto" w:sz="4" w:space="0"/>
            </w:tcBorders>
            <w:shd w:val="clear" w:color="auto" w:fill="auto"/>
            <w:vAlign w:val="center"/>
          </w:tcPr>
          <w:p>
            <w:pPr>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组织答辩阶段</w:t>
            </w:r>
          </w:p>
        </w:tc>
      </w:tr>
      <w:tr>
        <w:tblPrEx>
          <w:tblCellMar>
            <w:top w:w="0" w:type="dxa"/>
            <w:left w:w="108" w:type="dxa"/>
            <w:bottom w:w="0" w:type="dxa"/>
            <w:right w:w="108" w:type="dxa"/>
          </w:tblCellMar>
        </w:tblPrEx>
        <w:trPr>
          <w:trHeight w:val="567" w:hRule="atLeast"/>
        </w:trPr>
        <w:tc>
          <w:tcPr>
            <w:tcW w:w="4326" w:type="dxa"/>
            <w:tcBorders>
              <w:top w:val="nil"/>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sz w:val="24"/>
              </w:rPr>
            </w:pPr>
            <w:r>
              <w:rPr>
                <w:rFonts w:asciiTheme="minorEastAsia" w:hAnsiTheme="minorEastAsia"/>
                <w:sz w:val="24"/>
              </w:rPr>
              <w:t>12</w:t>
            </w:r>
            <w:r>
              <w:rPr>
                <w:rFonts w:hint="eastAsia" w:asciiTheme="minorEastAsia" w:hAnsiTheme="minorEastAsia"/>
                <w:sz w:val="24"/>
              </w:rPr>
              <w:t>月</w:t>
            </w:r>
            <w:r>
              <w:rPr>
                <w:rFonts w:asciiTheme="minorEastAsia" w:hAnsiTheme="minorEastAsia"/>
                <w:sz w:val="24"/>
              </w:rPr>
              <w:t>19</w:t>
            </w:r>
            <w:r>
              <w:rPr>
                <w:rFonts w:hint="eastAsia" w:asciiTheme="minorEastAsia" w:hAnsiTheme="minorEastAsia"/>
                <w:sz w:val="24"/>
              </w:rPr>
              <w:t>日1</w:t>
            </w:r>
            <w:r>
              <w:rPr>
                <w:rFonts w:asciiTheme="minorEastAsia" w:hAnsiTheme="minorEastAsia"/>
                <w:sz w:val="24"/>
              </w:rPr>
              <w:t>8</w:t>
            </w:r>
            <w:r>
              <w:rPr>
                <w:rFonts w:hint="eastAsia" w:asciiTheme="minorEastAsia" w:hAnsiTheme="minorEastAsia"/>
                <w:sz w:val="24"/>
              </w:rPr>
              <w:t>:0</w:t>
            </w:r>
            <w:r>
              <w:rPr>
                <w:rFonts w:asciiTheme="minorEastAsia" w:hAnsiTheme="minorEastAsia"/>
                <w:sz w:val="24"/>
              </w:rPr>
              <w:t>1</w:t>
            </w:r>
            <w:r>
              <w:rPr>
                <w:rFonts w:hint="eastAsia" w:asciiTheme="minorEastAsia" w:hAnsiTheme="minorEastAsia"/>
                <w:sz w:val="24"/>
              </w:rPr>
              <w:t>—12月25日1</w:t>
            </w:r>
            <w:r>
              <w:rPr>
                <w:rFonts w:asciiTheme="minorEastAsia" w:hAnsiTheme="minorEastAsia"/>
                <w:sz w:val="24"/>
              </w:rPr>
              <w:t>8</w:t>
            </w:r>
            <w:r>
              <w:rPr>
                <w:rFonts w:hint="eastAsia" w:asciiTheme="minorEastAsia" w:hAnsiTheme="minorEastAsia"/>
                <w:sz w:val="24"/>
              </w:rPr>
              <w:t>:0</w:t>
            </w:r>
            <w:r>
              <w:rPr>
                <w:rFonts w:asciiTheme="minorEastAsia" w:hAnsiTheme="minorEastAsia"/>
                <w:sz w:val="24"/>
              </w:rPr>
              <w:t>0</w:t>
            </w:r>
          </w:p>
        </w:tc>
        <w:tc>
          <w:tcPr>
            <w:tcW w:w="4035" w:type="dxa"/>
            <w:tcBorders>
              <w:top w:val="nil"/>
              <w:left w:val="nil"/>
              <w:bottom w:val="single" w:color="auto" w:sz="4" w:space="0"/>
              <w:right w:val="single" w:color="auto" w:sz="4" w:space="0"/>
            </w:tcBorders>
            <w:shd w:val="clear" w:color="auto" w:fill="auto"/>
            <w:vAlign w:val="center"/>
          </w:tcPr>
          <w:p>
            <w:pPr>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szCs w:val="21"/>
              </w:rPr>
              <w:t>完成各环节评分及考核表打印</w:t>
            </w:r>
          </w:p>
        </w:tc>
      </w:tr>
    </w:tbl>
    <w:p>
      <w:pPr>
        <w:spacing w:line="440" w:lineRule="exact"/>
        <w:ind w:firstLine="482" w:firstLineChars="200"/>
        <w:rPr>
          <w:b/>
          <w:bCs/>
          <w:kern w:val="0"/>
          <w:sz w:val="24"/>
          <w:szCs w:val="24"/>
        </w:rPr>
      </w:pPr>
      <w:r>
        <w:rPr>
          <w:b/>
          <w:bCs/>
          <w:kern w:val="0"/>
          <w:sz w:val="24"/>
          <w:szCs w:val="24"/>
        </w:rPr>
        <w:t>特别提醒：</w:t>
      </w:r>
    </w:p>
    <w:p>
      <w:pPr>
        <w:spacing w:line="440" w:lineRule="exact"/>
        <w:ind w:firstLine="480" w:firstLineChars="200"/>
        <w:rPr>
          <w:rFonts w:ascii="微软雅黑" w:hAnsi="微软雅黑" w:eastAsia="微软雅黑" w:cs="宋体"/>
          <w:kern w:val="0"/>
          <w:sz w:val="24"/>
          <w:szCs w:val="24"/>
        </w:rPr>
      </w:pPr>
      <w:r>
        <w:rPr>
          <w:rFonts w:hint="eastAsia" w:ascii="微软雅黑" w:hAnsi="微软雅黑" w:eastAsia="微软雅黑" w:cs="宋体"/>
          <w:b/>
          <w:bCs/>
          <w:kern w:val="0"/>
          <w:sz w:val="24"/>
          <w:szCs w:val="24"/>
        </w:rPr>
        <w:t>（</w:t>
      </w:r>
      <w:r>
        <w:rPr>
          <w:rFonts w:ascii="微软雅黑" w:hAnsi="微软雅黑" w:eastAsia="微软雅黑" w:cs="宋体"/>
          <w:b/>
          <w:bCs/>
          <w:kern w:val="0"/>
          <w:sz w:val="24"/>
          <w:szCs w:val="24"/>
        </w:rPr>
        <w:t>1</w:t>
      </w:r>
      <w:r>
        <w:rPr>
          <w:rFonts w:hint="eastAsia" w:ascii="宋体" w:hAnsi="宋体" w:cs="宋体"/>
          <w:b/>
          <w:bCs/>
          <w:kern w:val="0"/>
          <w:sz w:val="24"/>
          <w:szCs w:val="24"/>
        </w:rPr>
        <w:t>）请学生慎重确定答辩方式，</w:t>
      </w:r>
      <w:r>
        <w:rPr>
          <w:rFonts w:hint="eastAsia" w:ascii="微软雅黑" w:hAnsi="微软雅黑" w:eastAsia="微软雅黑" w:cs="宋体"/>
          <w:b/>
          <w:bCs/>
          <w:kern w:val="0"/>
          <w:sz w:val="24"/>
          <w:szCs w:val="24"/>
        </w:rPr>
        <w:t> </w:t>
      </w:r>
      <w:r>
        <w:rPr>
          <w:rFonts w:hint="eastAsia" w:ascii="宋体" w:hAnsi="宋体" w:cs="宋体"/>
          <w:b/>
          <w:bCs/>
          <w:kern w:val="0"/>
          <w:sz w:val="24"/>
          <w:szCs w:val="24"/>
        </w:rPr>
        <w:t>“书面答辩”学生不能申请学位；</w:t>
      </w:r>
    </w:p>
    <w:p>
      <w:pPr>
        <w:spacing w:line="440" w:lineRule="exact"/>
        <w:ind w:firstLine="480" w:firstLineChars="200"/>
        <w:rPr>
          <w:rFonts w:ascii="宋体" w:hAnsi="宋体" w:cs="宋体"/>
          <w:b/>
          <w:bCs/>
          <w:kern w:val="0"/>
          <w:sz w:val="24"/>
          <w:szCs w:val="24"/>
        </w:rPr>
      </w:pPr>
      <w:r>
        <w:rPr>
          <w:rFonts w:hint="eastAsia" w:ascii="微软雅黑" w:hAnsi="微软雅黑" w:eastAsia="微软雅黑" w:cs="宋体"/>
          <w:b/>
          <w:bCs/>
          <w:kern w:val="0"/>
          <w:sz w:val="24"/>
          <w:szCs w:val="24"/>
        </w:rPr>
        <w:t>（</w:t>
      </w:r>
      <w:r>
        <w:rPr>
          <w:rFonts w:ascii="微软雅黑" w:hAnsi="微软雅黑" w:eastAsia="微软雅黑" w:cs="宋体"/>
          <w:b/>
          <w:bCs/>
          <w:kern w:val="0"/>
          <w:sz w:val="24"/>
          <w:szCs w:val="24"/>
        </w:rPr>
        <w:t>2</w:t>
      </w:r>
      <w:r>
        <w:rPr>
          <w:rFonts w:hint="eastAsia" w:ascii="宋体" w:hAnsi="宋体" w:cs="宋体"/>
          <w:b/>
          <w:bCs/>
          <w:kern w:val="0"/>
          <w:sz w:val="24"/>
          <w:szCs w:val="24"/>
        </w:rPr>
        <w:t xml:space="preserve">）学生必须完成每一个阶段的稿件提交，才能进入下一阶段； </w:t>
      </w:r>
    </w:p>
    <w:p>
      <w:pPr>
        <w:spacing w:line="440" w:lineRule="exact"/>
        <w:ind w:firstLine="482" w:firstLineChars="200"/>
        <w:rPr>
          <w:b/>
          <w:bCs/>
          <w:kern w:val="0"/>
          <w:sz w:val="24"/>
          <w:szCs w:val="24"/>
        </w:rPr>
      </w:pPr>
      <w:r>
        <w:rPr>
          <w:rFonts w:hint="eastAsia"/>
          <w:b/>
          <w:bCs/>
          <w:kern w:val="0"/>
          <w:sz w:val="24"/>
          <w:szCs w:val="24"/>
        </w:rPr>
        <w:t>（3）</w:t>
      </w:r>
      <w:r>
        <w:rPr>
          <w:b/>
          <w:bCs/>
          <w:kern w:val="0"/>
          <w:sz w:val="24"/>
          <w:szCs w:val="24"/>
        </w:rPr>
        <w:t>指导老师</w:t>
      </w:r>
      <w:r>
        <w:rPr>
          <w:rFonts w:hint="eastAsia"/>
          <w:b/>
          <w:bCs/>
          <w:kern w:val="0"/>
          <w:sz w:val="24"/>
          <w:szCs w:val="24"/>
        </w:rPr>
        <w:t>尽量在学生提交稿件后两天完成评阅工作</w:t>
      </w:r>
      <w:r>
        <w:rPr>
          <w:b/>
          <w:bCs/>
          <w:kern w:val="0"/>
          <w:sz w:val="24"/>
          <w:szCs w:val="24"/>
        </w:rPr>
        <w:t>，</w:t>
      </w:r>
      <w:r>
        <w:rPr>
          <w:rFonts w:hint="eastAsia"/>
          <w:b/>
          <w:bCs/>
          <w:kern w:val="0"/>
          <w:sz w:val="24"/>
          <w:szCs w:val="24"/>
        </w:rPr>
        <w:t>以免影响学生</w:t>
      </w:r>
      <w:r>
        <w:rPr>
          <w:b/>
          <w:bCs/>
          <w:kern w:val="0"/>
          <w:sz w:val="24"/>
          <w:szCs w:val="24"/>
        </w:rPr>
        <w:t>毕业设计（论文）</w:t>
      </w:r>
      <w:r>
        <w:rPr>
          <w:rFonts w:hint="eastAsia"/>
          <w:b/>
          <w:bCs/>
          <w:kern w:val="0"/>
          <w:sz w:val="24"/>
          <w:szCs w:val="24"/>
        </w:rPr>
        <w:t>任务进展</w:t>
      </w:r>
      <w:r>
        <w:rPr>
          <w:b/>
          <w:bCs/>
          <w:kern w:val="0"/>
          <w:sz w:val="24"/>
          <w:szCs w:val="24"/>
        </w:rPr>
        <w:t>。</w:t>
      </w:r>
    </w:p>
    <w:p>
      <w:pPr>
        <w:spacing w:line="440" w:lineRule="exact"/>
        <w:ind w:firstLine="482" w:firstLineChars="200"/>
        <w:rPr>
          <w:b/>
          <w:bCs/>
          <w:kern w:val="0"/>
          <w:sz w:val="24"/>
          <w:szCs w:val="24"/>
        </w:rPr>
      </w:pPr>
      <w:r>
        <w:rPr>
          <w:rFonts w:hint="eastAsia"/>
          <w:b/>
          <w:bCs/>
          <w:kern w:val="0"/>
          <w:sz w:val="24"/>
          <w:szCs w:val="24"/>
        </w:rPr>
        <w:t>（4）学生复稿最后一稿查重、格式和质量合格是作为指导老师确认终稿的必要条件。</w:t>
      </w:r>
    </w:p>
    <w:p>
      <w:pPr>
        <w:spacing w:line="440" w:lineRule="exact"/>
        <w:ind w:firstLine="482" w:firstLineChars="200"/>
        <w:rPr>
          <w:b/>
          <w:bCs/>
          <w:kern w:val="0"/>
          <w:sz w:val="24"/>
          <w:szCs w:val="24"/>
        </w:rPr>
      </w:pPr>
      <w:r>
        <w:rPr>
          <w:rFonts w:hint="eastAsia"/>
          <w:b/>
          <w:bCs/>
          <w:kern w:val="0"/>
          <w:sz w:val="24"/>
          <w:szCs w:val="24"/>
        </w:rPr>
        <w:t>（5）指导老师没有评阅的稿件，学生再次上传会覆盖原稿件。</w:t>
      </w:r>
    </w:p>
    <w:p>
      <w:pPr>
        <w:spacing w:line="440" w:lineRule="exact"/>
        <w:ind w:firstLine="482" w:firstLineChars="200"/>
        <w:rPr>
          <w:b/>
          <w:bCs/>
          <w:kern w:val="0"/>
          <w:sz w:val="24"/>
          <w:szCs w:val="24"/>
        </w:rPr>
      </w:pPr>
      <w:r>
        <w:rPr>
          <w:rFonts w:hint="eastAsia"/>
          <w:b/>
          <w:bCs/>
          <w:kern w:val="0"/>
          <w:sz w:val="24"/>
          <w:szCs w:val="24"/>
        </w:rPr>
        <w:t>八</w:t>
      </w:r>
      <w:r>
        <w:rPr>
          <w:b/>
          <w:bCs/>
          <w:kern w:val="0"/>
          <w:sz w:val="24"/>
          <w:szCs w:val="24"/>
        </w:rPr>
        <w:t>、毕业论文写作成绩评定和监控</w:t>
      </w:r>
    </w:p>
    <w:p>
      <w:pPr>
        <w:spacing w:line="440" w:lineRule="exact"/>
        <w:ind w:firstLine="480" w:firstLineChars="200"/>
        <w:rPr>
          <w:kern w:val="0"/>
          <w:sz w:val="24"/>
          <w:szCs w:val="24"/>
        </w:rPr>
      </w:pPr>
      <w:r>
        <w:rPr>
          <w:rFonts w:hint="eastAsia"/>
          <w:kern w:val="0"/>
          <w:sz w:val="24"/>
          <w:szCs w:val="24"/>
        </w:rPr>
        <w:t>1．</w:t>
      </w:r>
      <w:r>
        <w:rPr>
          <w:kern w:val="0"/>
          <w:sz w:val="24"/>
          <w:szCs w:val="24"/>
        </w:rPr>
        <w:t>指导教师由学习中心聘请后，由学习中心管理员在综合管理平台按专业指定学生，指导教师与学生利用综合管理平台的毕业论文管理系统进行指导与修改的交互。</w:t>
      </w:r>
    </w:p>
    <w:p>
      <w:pPr>
        <w:spacing w:line="440" w:lineRule="exact"/>
        <w:ind w:firstLine="480" w:firstLineChars="200"/>
        <w:rPr>
          <w:kern w:val="0"/>
          <w:sz w:val="24"/>
          <w:szCs w:val="24"/>
        </w:rPr>
      </w:pPr>
      <w:r>
        <w:rPr>
          <w:kern w:val="0"/>
          <w:sz w:val="24"/>
          <w:szCs w:val="24"/>
        </w:rPr>
        <w:t> </w:t>
      </w:r>
      <w:r>
        <w:rPr>
          <w:rFonts w:hint="eastAsia"/>
          <w:kern w:val="0"/>
          <w:sz w:val="24"/>
          <w:szCs w:val="24"/>
        </w:rPr>
        <w:t>2．各办学单位</w:t>
      </w:r>
      <w:r>
        <w:rPr>
          <w:kern w:val="0"/>
          <w:sz w:val="24"/>
          <w:szCs w:val="24"/>
        </w:rPr>
        <w:t>教学管理人员通过综合管理平台对学生的论文写作进展情况进行监控，并及时解决学生和指导教师遇到的问题。</w:t>
      </w:r>
    </w:p>
    <w:p>
      <w:pPr>
        <w:spacing w:line="440" w:lineRule="exact"/>
        <w:ind w:firstLine="480" w:firstLineChars="200"/>
        <w:rPr>
          <w:kern w:val="0"/>
          <w:sz w:val="24"/>
          <w:szCs w:val="24"/>
        </w:rPr>
      </w:pPr>
      <w:r>
        <w:rPr>
          <w:rFonts w:hint="eastAsia"/>
          <w:kern w:val="0"/>
          <w:sz w:val="24"/>
          <w:szCs w:val="24"/>
        </w:rPr>
        <w:t>3．</w:t>
      </w:r>
      <w:r>
        <w:rPr>
          <w:kern w:val="0"/>
          <w:sz w:val="24"/>
          <w:szCs w:val="24"/>
        </w:rPr>
        <w:t>指导教师在论文评定过程中应严格查处论文抄袭行为，无论任何环节发现论文有抄袭行为者，当即取消其写作资格，成绩评定为不合格。</w:t>
      </w:r>
    </w:p>
    <w:p>
      <w:pPr>
        <w:spacing w:line="440" w:lineRule="exact"/>
        <w:ind w:firstLine="480" w:firstLineChars="200"/>
        <w:rPr>
          <w:kern w:val="0"/>
          <w:sz w:val="24"/>
          <w:szCs w:val="24"/>
        </w:rPr>
      </w:pPr>
      <w:r>
        <w:rPr>
          <w:rFonts w:hint="eastAsia"/>
          <w:kern w:val="0"/>
          <w:sz w:val="24"/>
          <w:szCs w:val="24"/>
        </w:rPr>
        <w:t>4．办学单位应确认指导老师允许学生答辩后</w:t>
      </w:r>
      <w:r>
        <w:rPr>
          <w:kern w:val="0"/>
          <w:sz w:val="24"/>
          <w:szCs w:val="24"/>
        </w:rPr>
        <w:t>再组织</w:t>
      </w:r>
      <w:r>
        <w:rPr>
          <w:rFonts w:hint="eastAsia"/>
          <w:kern w:val="0"/>
          <w:sz w:val="24"/>
          <w:szCs w:val="24"/>
        </w:rPr>
        <w:t>答辩相应</w:t>
      </w:r>
      <w:r>
        <w:rPr>
          <w:kern w:val="0"/>
          <w:sz w:val="24"/>
          <w:szCs w:val="24"/>
        </w:rPr>
        <w:t>工作，对</w:t>
      </w:r>
      <w:r>
        <w:rPr>
          <w:rFonts w:hint="eastAsia"/>
          <w:kern w:val="0"/>
          <w:sz w:val="24"/>
          <w:szCs w:val="24"/>
        </w:rPr>
        <w:t>书面</w:t>
      </w:r>
      <w:r>
        <w:rPr>
          <w:kern w:val="0"/>
          <w:sz w:val="24"/>
          <w:szCs w:val="24"/>
        </w:rPr>
        <w:t>答辩的学生</w:t>
      </w:r>
      <w:r>
        <w:rPr>
          <w:rFonts w:hint="eastAsia"/>
          <w:kern w:val="0"/>
          <w:sz w:val="24"/>
          <w:szCs w:val="24"/>
        </w:rPr>
        <w:t>，</w:t>
      </w:r>
      <w:r>
        <w:rPr>
          <w:kern w:val="0"/>
          <w:sz w:val="24"/>
          <w:szCs w:val="24"/>
        </w:rPr>
        <w:t>指导教师</w:t>
      </w:r>
      <w:r>
        <w:rPr>
          <w:rFonts w:hint="eastAsia"/>
          <w:kern w:val="0"/>
          <w:sz w:val="24"/>
          <w:szCs w:val="24"/>
        </w:rPr>
        <w:t>完成</w:t>
      </w:r>
      <w:r>
        <w:rPr>
          <w:kern w:val="0"/>
          <w:sz w:val="24"/>
          <w:szCs w:val="24"/>
        </w:rPr>
        <w:t>平时成绩</w:t>
      </w:r>
      <w:r>
        <w:rPr>
          <w:rFonts w:hint="eastAsia"/>
          <w:kern w:val="0"/>
          <w:sz w:val="24"/>
          <w:szCs w:val="24"/>
        </w:rPr>
        <w:t>、</w:t>
      </w:r>
      <w:r>
        <w:rPr>
          <w:kern w:val="0"/>
          <w:sz w:val="24"/>
          <w:szCs w:val="24"/>
        </w:rPr>
        <w:t>论文质量</w:t>
      </w:r>
      <w:r>
        <w:rPr>
          <w:rFonts w:hint="eastAsia"/>
          <w:kern w:val="0"/>
          <w:sz w:val="24"/>
          <w:szCs w:val="24"/>
        </w:rPr>
        <w:t>以及</w:t>
      </w:r>
      <w:r>
        <w:rPr>
          <w:kern w:val="0"/>
          <w:sz w:val="24"/>
          <w:szCs w:val="24"/>
        </w:rPr>
        <w:t>书面答辩</w:t>
      </w:r>
      <w:r>
        <w:rPr>
          <w:rFonts w:hint="eastAsia"/>
          <w:kern w:val="0"/>
          <w:sz w:val="24"/>
          <w:szCs w:val="24"/>
        </w:rPr>
        <w:t>三项内容的打分；</w:t>
      </w:r>
      <w:r>
        <w:rPr>
          <w:kern w:val="0"/>
          <w:sz w:val="24"/>
          <w:szCs w:val="24"/>
        </w:rPr>
        <w:t>对申请现场答辩的学生</w:t>
      </w:r>
      <w:r>
        <w:rPr>
          <w:rFonts w:hint="eastAsia"/>
          <w:kern w:val="0"/>
          <w:sz w:val="24"/>
          <w:szCs w:val="24"/>
        </w:rPr>
        <w:t>，指导老师完成</w:t>
      </w:r>
      <w:r>
        <w:rPr>
          <w:kern w:val="0"/>
          <w:sz w:val="24"/>
          <w:szCs w:val="24"/>
        </w:rPr>
        <w:t>平时成绩</w:t>
      </w:r>
      <w:r>
        <w:rPr>
          <w:rFonts w:hint="eastAsia"/>
          <w:kern w:val="0"/>
          <w:sz w:val="24"/>
          <w:szCs w:val="24"/>
        </w:rPr>
        <w:t>和</w:t>
      </w:r>
      <w:r>
        <w:rPr>
          <w:kern w:val="0"/>
          <w:sz w:val="24"/>
          <w:szCs w:val="24"/>
        </w:rPr>
        <w:t>论文质量</w:t>
      </w:r>
      <w:r>
        <w:rPr>
          <w:rFonts w:hint="eastAsia"/>
          <w:kern w:val="0"/>
          <w:sz w:val="24"/>
          <w:szCs w:val="24"/>
        </w:rPr>
        <w:t>的打分</w:t>
      </w:r>
      <w:r>
        <w:rPr>
          <w:kern w:val="0"/>
          <w:sz w:val="24"/>
          <w:szCs w:val="24"/>
        </w:rPr>
        <w:t>，</w:t>
      </w:r>
      <w:r>
        <w:rPr>
          <w:rFonts w:hint="eastAsia"/>
          <w:kern w:val="0"/>
          <w:sz w:val="24"/>
          <w:szCs w:val="24"/>
        </w:rPr>
        <w:t>答辩成绩在学生</w:t>
      </w:r>
      <w:r>
        <w:rPr>
          <w:kern w:val="0"/>
          <w:sz w:val="24"/>
          <w:szCs w:val="24"/>
        </w:rPr>
        <w:t>现场答辩后由答辩小组给出</w:t>
      </w:r>
      <w:r>
        <w:rPr>
          <w:rFonts w:hint="eastAsia"/>
          <w:kern w:val="0"/>
          <w:sz w:val="24"/>
          <w:szCs w:val="24"/>
        </w:rPr>
        <w:t>。</w:t>
      </w:r>
    </w:p>
    <w:p>
      <w:pPr>
        <w:spacing w:line="440" w:lineRule="exact"/>
        <w:ind w:firstLine="480" w:firstLineChars="200"/>
        <w:rPr>
          <w:kern w:val="0"/>
          <w:sz w:val="24"/>
          <w:szCs w:val="24"/>
        </w:rPr>
      </w:pPr>
      <w:r>
        <w:rPr>
          <w:kern w:val="0"/>
          <w:sz w:val="24"/>
          <w:szCs w:val="24"/>
        </w:rPr>
        <w:t>5</w:t>
      </w:r>
      <w:r>
        <w:rPr>
          <w:rFonts w:hint="eastAsia"/>
          <w:kern w:val="0"/>
          <w:sz w:val="24"/>
          <w:szCs w:val="24"/>
        </w:rPr>
        <w:t>．</w:t>
      </w:r>
      <w:r>
        <w:rPr>
          <w:kern w:val="0"/>
          <w:sz w:val="24"/>
          <w:szCs w:val="24"/>
        </w:rPr>
        <w:t>12</w:t>
      </w:r>
      <w:r>
        <w:rPr>
          <w:rFonts w:hint="eastAsia"/>
          <w:kern w:val="0"/>
          <w:sz w:val="24"/>
          <w:szCs w:val="24"/>
        </w:rPr>
        <w:t>月2</w:t>
      </w:r>
      <w:r>
        <w:rPr>
          <w:kern w:val="0"/>
          <w:sz w:val="24"/>
          <w:szCs w:val="24"/>
        </w:rPr>
        <w:t>5</w:t>
      </w:r>
      <w:r>
        <w:rPr>
          <w:rFonts w:hint="eastAsia"/>
          <w:kern w:val="0"/>
          <w:sz w:val="24"/>
          <w:szCs w:val="24"/>
        </w:rPr>
        <w:t>日1</w:t>
      </w:r>
      <w:r>
        <w:rPr>
          <w:kern w:val="0"/>
          <w:sz w:val="24"/>
          <w:szCs w:val="24"/>
        </w:rPr>
        <w:t>8</w:t>
      </w:r>
      <w:r>
        <w:rPr>
          <w:rFonts w:hint="eastAsia"/>
          <w:kern w:val="0"/>
          <w:sz w:val="24"/>
          <w:szCs w:val="24"/>
        </w:rPr>
        <w:t>:0</w:t>
      </w:r>
      <w:r>
        <w:rPr>
          <w:kern w:val="0"/>
          <w:sz w:val="24"/>
          <w:szCs w:val="24"/>
        </w:rPr>
        <w:t>0</w:t>
      </w:r>
      <w:r>
        <w:rPr>
          <w:rFonts w:hint="eastAsia"/>
          <w:kern w:val="0"/>
          <w:sz w:val="24"/>
          <w:szCs w:val="24"/>
        </w:rPr>
        <w:t>前完成</w:t>
      </w:r>
      <w:r>
        <w:rPr>
          <w:kern w:val="0"/>
          <w:sz w:val="24"/>
          <w:szCs w:val="24"/>
        </w:rPr>
        <w:t>所有书面答辩和现场答辩</w:t>
      </w:r>
      <w:r>
        <w:rPr>
          <w:rFonts w:hint="eastAsia"/>
          <w:kern w:val="0"/>
          <w:sz w:val="24"/>
          <w:szCs w:val="24"/>
        </w:rPr>
        <w:t>的评审及</w:t>
      </w:r>
      <w:r>
        <w:rPr>
          <w:kern w:val="0"/>
          <w:sz w:val="24"/>
          <w:szCs w:val="24"/>
        </w:rPr>
        <w:t>成绩录入</w:t>
      </w:r>
      <w:r>
        <w:rPr>
          <w:rFonts w:hint="eastAsia"/>
          <w:kern w:val="0"/>
          <w:sz w:val="24"/>
          <w:szCs w:val="24"/>
        </w:rPr>
        <w:t>工作，打印</w:t>
      </w:r>
      <w:r>
        <w:rPr>
          <w:kern w:val="0"/>
          <w:sz w:val="24"/>
          <w:szCs w:val="24"/>
        </w:rPr>
        <w:t>《成绩考核表》（注：</w:t>
      </w:r>
      <w:r>
        <w:rPr>
          <w:rFonts w:hint="eastAsia"/>
          <w:kern w:val="0"/>
          <w:sz w:val="24"/>
          <w:szCs w:val="24"/>
        </w:rPr>
        <w:t>因</w:t>
      </w:r>
      <w:r>
        <w:rPr>
          <w:kern w:val="0"/>
          <w:sz w:val="24"/>
          <w:szCs w:val="24"/>
        </w:rPr>
        <w:t>申请学位类《成绩考核表》</w:t>
      </w:r>
      <w:r>
        <w:rPr>
          <w:rFonts w:hint="eastAsia"/>
          <w:kern w:val="0"/>
          <w:sz w:val="24"/>
          <w:szCs w:val="24"/>
        </w:rPr>
        <w:t>需</w:t>
      </w:r>
      <w:r>
        <w:rPr>
          <w:kern w:val="0"/>
          <w:sz w:val="24"/>
          <w:szCs w:val="24"/>
        </w:rPr>
        <w:t>双面打印</w:t>
      </w:r>
      <w:r>
        <w:rPr>
          <w:rFonts w:hint="eastAsia"/>
          <w:kern w:val="0"/>
          <w:sz w:val="24"/>
          <w:szCs w:val="24"/>
        </w:rPr>
        <w:t>，故必须在下载中心下载打印客户端见附件</w:t>
      </w:r>
      <w:r>
        <w:rPr>
          <w:rFonts w:hint="eastAsia"/>
          <w:kern w:val="0"/>
          <w:sz w:val="24"/>
          <w:szCs w:val="24"/>
          <w:lang w:val="en-US" w:eastAsia="zh-CN"/>
        </w:rPr>
        <w:t>4</w:t>
      </w:r>
      <w:r>
        <w:rPr>
          <w:kern w:val="0"/>
          <w:sz w:val="24"/>
          <w:szCs w:val="24"/>
        </w:rPr>
        <w:t>），本学期毕业设计（论文）工作结束。12</w:t>
      </w:r>
      <w:r>
        <w:rPr>
          <w:rFonts w:hint="eastAsia"/>
          <w:kern w:val="0"/>
          <w:sz w:val="24"/>
          <w:szCs w:val="24"/>
        </w:rPr>
        <w:t>月2</w:t>
      </w:r>
      <w:r>
        <w:rPr>
          <w:kern w:val="0"/>
          <w:sz w:val="24"/>
          <w:szCs w:val="24"/>
        </w:rPr>
        <w:t>5</w:t>
      </w:r>
      <w:r>
        <w:rPr>
          <w:rFonts w:hint="eastAsia"/>
          <w:kern w:val="0"/>
          <w:sz w:val="24"/>
          <w:szCs w:val="24"/>
        </w:rPr>
        <w:t>日1</w:t>
      </w:r>
      <w:r>
        <w:rPr>
          <w:kern w:val="0"/>
          <w:sz w:val="24"/>
          <w:szCs w:val="24"/>
        </w:rPr>
        <w:t>8</w:t>
      </w:r>
      <w:r>
        <w:rPr>
          <w:rFonts w:hint="eastAsia"/>
          <w:kern w:val="0"/>
          <w:sz w:val="24"/>
          <w:szCs w:val="24"/>
        </w:rPr>
        <w:t>:0</w:t>
      </w:r>
      <w:r>
        <w:rPr>
          <w:kern w:val="0"/>
          <w:sz w:val="24"/>
          <w:szCs w:val="24"/>
        </w:rPr>
        <w:t>0</w:t>
      </w:r>
      <w:r>
        <w:rPr>
          <w:rFonts w:hint="eastAsia"/>
          <w:kern w:val="0"/>
          <w:sz w:val="24"/>
          <w:szCs w:val="24"/>
        </w:rPr>
        <w:t>以后</w:t>
      </w:r>
      <w:r>
        <w:rPr>
          <w:kern w:val="0"/>
          <w:sz w:val="24"/>
          <w:szCs w:val="24"/>
        </w:rPr>
        <w:t>毕业论文管理系统关闭</w:t>
      </w:r>
      <w:r>
        <w:rPr>
          <w:rFonts w:hint="eastAsia"/>
          <w:kern w:val="0"/>
          <w:sz w:val="24"/>
          <w:szCs w:val="24"/>
        </w:rPr>
        <w:t>。</w:t>
      </w:r>
    </w:p>
    <w:p>
      <w:pPr>
        <w:spacing w:line="440" w:lineRule="exact"/>
        <w:ind w:firstLine="480" w:firstLineChars="200"/>
        <w:rPr>
          <w:kern w:val="0"/>
          <w:sz w:val="24"/>
          <w:szCs w:val="24"/>
        </w:rPr>
      </w:pPr>
      <w:r>
        <w:rPr>
          <w:kern w:val="0"/>
          <w:sz w:val="24"/>
          <w:szCs w:val="24"/>
        </w:rPr>
        <w:t>6</w:t>
      </w:r>
      <w:r>
        <w:rPr>
          <w:rFonts w:hint="eastAsia"/>
          <w:kern w:val="0"/>
          <w:sz w:val="24"/>
          <w:szCs w:val="24"/>
        </w:rPr>
        <w:t>．凡</w:t>
      </w:r>
      <w:r>
        <w:rPr>
          <w:rFonts w:hint="eastAsia" w:ascii="宋体" w:hAnsi="宋体"/>
          <w:kern w:val="0"/>
          <w:sz w:val="24"/>
          <w:szCs w:val="24"/>
        </w:rPr>
        <w:t>有任何抄袭、代写等作弊行为且情节严重的，一经查实，正在撰写者，取消写作资格，论文成绩不及格；已经评定成绩者，成绩作废；已经授予学位的将予以撤销。</w:t>
      </w:r>
    </w:p>
    <w:p>
      <w:pPr>
        <w:spacing w:line="440" w:lineRule="exact"/>
        <w:ind w:firstLine="480" w:firstLineChars="200"/>
        <w:rPr>
          <w:kern w:val="0"/>
          <w:sz w:val="24"/>
          <w:szCs w:val="24"/>
        </w:rPr>
      </w:pPr>
      <w:r>
        <w:rPr>
          <w:kern w:val="0"/>
          <w:sz w:val="24"/>
          <w:szCs w:val="24"/>
        </w:rPr>
        <w:t>毕业论文写作是</w:t>
      </w:r>
      <w:r>
        <w:rPr>
          <w:rFonts w:hint="eastAsia"/>
          <w:kern w:val="0"/>
          <w:sz w:val="24"/>
          <w:szCs w:val="24"/>
        </w:rPr>
        <w:t>人才培养的重要</w:t>
      </w:r>
      <w:r>
        <w:rPr>
          <w:kern w:val="0"/>
          <w:sz w:val="24"/>
          <w:szCs w:val="24"/>
        </w:rPr>
        <w:t>环节，请</w:t>
      </w:r>
      <w:r>
        <w:rPr>
          <w:rFonts w:hint="eastAsia"/>
          <w:kern w:val="0"/>
          <w:sz w:val="24"/>
          <w:szCs w:val="24"/>
        </w:rPr>
        <w:t>办学单位</w:t>
      </w:r>
      <w:r>
        <w:rPr>
          <w:kern w:val="0"/>
          <w:sz w:val="24"/>
          <w:szCs w:val="24"/>
        </w:rPr>
        <w:t>接到本通知后及时落实相关工作，在</w:t>
      </w:r>
      <w:r>
        <w:rPr>
          <w:rFonts w:hint="eastAsia"/>
          <w:kern w:val="0"/>
          <w:sz w:val="24"/>
          <w:szCs w:val="24"/>
        </w:rPr>
        <w:t>执行</w:t>
      </w:r>
      <w:r>
        <w:rPr>
          <w:kern w:val="0"/>
          <w:sz w:val="24"/>
          <w:szCs w:val="24"/>
        </w:rPr>
        <w:t>过程中如有问题</w:t>
      </w:r>
      <w:r>
        <w:rPr>
          <w:rFonts w:hint="eastAsia"/>
          <w:kern w:val="0"/>
          <w:sz w:val="24"/>
          <w:szCs w:val="24"/>
        </w:rPr>
        <w:t>或</w:t>
      </w:r>
      <w:r>
        <w:rPr>
          <w:kern w:val="0"/>
          <w:sz w:val="24"/>
          <w:szCs w:val="24"/>
        </w:rPr>
        <w:t>建议，请及时联系总校系统管理人员，确保各项工作</w:t>
      </w:r>
      <w:r>
        <w:rPr>
          <w:rFonts w:hint="eastAsia"/>
          <w:kern w:val="0"/>
          <w:sz w:val="24"/>
          <w:szCs w:val="24"/>
        </w:rPr>
        <w:t>顺利推进</w:t>
      </w:r>
      <w:r>
        <w:rPr>
          <w:kern w:val="0"/>
          <w:sz w:val="24"/>
          <w:szCs w:val="24"/>
        </w:rPr>
        <w:t>。</w:t>
      </w:r>
    </w:p>
    <w:p>
      <w:pPr>
        <w:spacing w:line="440" w:lineRule="exact"/>
        <w:ind w:firstLine="480" w:firstLineChars="200"/>
        <w:rPr>
          <w:kern w:val="0"/>
          <w:sz w:val="24"/>
          <w:szCs w:val="24"/>
        </w:rPr>
      </w:pPr>
      <w:r>
        <w:rPr>
          <w:kern w:val="0"/>
          <w:sz w:val="24"/>
          <w:szCs w:val="24"/>
        </w:rPr>
        <w:t>毕业论文系统管理员：龚泽平，联系电话： 02883206665，或者通过“学籍管理”QQ群联系。</w:t>
      </w:r>
    </w:p>
    <w:p>
      <w:pPr>
        <w:spacing w:line="440" w:lineRule="exact"/>
        <w:ind w:firstLine="480" w:firstLineChars="200"/>
        <w:rPr>
          <w:kern w:val="0"/>
          <w:sz w:val="24"/>
          <w:szCs w:val="24"/>
        </w:rPr>
      </w:pPr>
    </w:p>
    <w:p>
      <w:pPr>
        <w:spacing w:line="440" w:lineRule="exact"/>
        <w:ind w:firstLine="480" w:firstLineChars="200"/>
        <w:rPr>
          <w:kern w:val="0"/>
          <w:sz w:val="24"/>
          <w:szCs w:val="24"/>
        </w:rPr>
      </w:pPr>
      <w:r>
        <w:rPr>
          <w:rFonts w:hint="eastAsia"/>
          <w:kern w:val="0"/>
          <w:sz w:val="24"/>
          <w:szCs w:val="24"/>
        </w:rPr>
        <w:t>附件1：关于修订电子科技大学成人高等教育、网络高等教育本科生毕业设计(论文)相关文件的通知</w:t>
      </w:r>
    </w:p>
    <w:p>
      <w:pPr>
        <w:spacing w:line="440" w:lineRule="exact"/>
        <w:ind w:firstLine="480" w:firstLineChars="200"/>
        <w:rPr>
          <w:rFonts w:hint="eastAsia"/>
          <w:kern w:val="0"/>
          <w:sz w:val="24"/>
          <w:szCs w:val="24"/>
        </w:rPr>
      </w:pPr>
      <w:r>
        <w:rPr>
          <w:rFonts w:hint="eastAsia"/>
          <w:kern w:val="0"/>
          <w:sz w:val="24"/>
          <w:szCs w:val="24"/>
        </w:rPr>
        <w:t>附件2：电子科技大学继续教育学院本科毕业论文开题报告的内容要求及格式填写说明</w:t>
      </w:r>
    </w:p>
    <w:p>
      <w:pPr>
        <w:spacing w:line="440" w:lineRule="exact"/>
        <w:ind w:firstLine="480" w:firstLineChars="200"/>
        <w:rPr>
          <w:rFonts w:hint="eastAsia"/>
          <w:kern w:val="0"/>
          <w:sz w:val="24"/>
          <w:szCs w:val="24"/>
        </w:rPr>
      </w:pPr>
      <w:r>
        <w:rPr>
          <w:rFonts w:hint="eastAsia"/>
          <w:kern w:val="0"/>
          <w:sz w:val="24"/>
          <w:szCs w:val="24"/>
        </w:rPr>
        <w:t>附件3：电子科技大学继续教育学院毕业设计（论文）开题报告模板</w:t>
      </w:r>
    </w:p>
    <w:p>
      <w:pPr>
        <w:spacing w:line="440" w:lineRule="exact"/>
        <w:ind w:firstLine="480" w:firstLineChars="200"/>
        <w:rPr>
          <w:kern w:val="0"/>
          <w:sz w:val="24"/>
          <w:szCs w:val="24"/>
        </w:rPr>
      </w:pPr>
      <w:r>
        <w:rPr>
          <w:rFonts w:hint="eastAsia"/>
          <w:kern w:val="0"/>
          <w:sz w:val="24"/>
          <w:szCs w:val="24"/>
        </w:rPr>
        <w:t>附件</w:t>
      </w:r>
      <w:r>
        <w:rPr>
          <w:rFonts w:hint="eastAsia"/>
          <w:kern w:val="0"/>
          <w:sz w:val="24"/>
          <w:szCs w:val="24"/>
          <w:lang w:val="en-US" w:eastAsia="zh-CN"/>
        </w:rPr>
        <w:t>4</w:t>
      </w:r>
      <w:r>
        <w:rPr>
          <w:rFonts w:hint="eastAsia"/>
          <w:kern w:val="0"/>
          <w:sz w:val="24"/>
          <w:szCs w:val="24"/>
        </w:rPr>
        <w:t>：打印</w:t>
      </w:r>
      <w:r>
        <w:rPr>
          <w:rFonts w:hint="eastAsia"/>
          <w:kern w:val="0"/>
          <w:sz w:val="24"/>
          <w:szCs w:val="24"/>
          <w:lang w:val="en-US" w:eastAsia="zh-CN"/>
        </w:rPr>
        <w:t>安装</w:t>
      </w:r>
      <w:r>
        <w:rPr>
          <w:rFonts w:hint="eastAsia"/>
          <w:kern w:val="0"/>
          <w:sz w:val="24"/>
          <w:szCs w:val="24"/>
        </w:rPr>
        <w:t>论文考核表流程</w:t>
      </w:r>
    </w:p>
    <w:p>
      <w:pPr>
        <w:spacing w:line="440" w:lineRule="exact"/>
        <w:ind w:firstLine="300"/>
        <w:rPr>
          <w:kern w:val="0"/>
          <w:sz w:val="24"/>
          <w:szCs w:val="24"/>
        </w:rPr>
      </w:pPr>
    </w:p>
    <w:p>
      <w:pPr>
        <w:spacing w:line="440" w:lineRule="exact"/>
        <w:ind w:firstLine="300"/>
        <w:rPr>
          <w:kern w:val="0"/>
          <w:sz w:val="24"/>
          <w:szCs w:val="24"/>
        </w:rPr>
      </w:pPr>
      <w:r>
        <w:rPr>
          <w:rFonts w:hint="eastAsia"/>
          <w:kern w:val="0"/>
          <w:sz w:val="24"/>
          <w:szCs w:val="24"/>
        </w:rPr>
        <w:t xml:space="preserve">                                  继续教育学院教务管理中心</w:t>
      </w:r>
    </w:p>
    <w:p>
      <w:pPr>
        <w:spacing w:line="440" w:lineRule="exact"/>
        <w:ind w:firstLine="300"/>
        <w:rPr>
          <w:kern w:val="0"/>
          <w:sz w:val="24"/>
          <w:szCs w:val="24"/>
        </w:rPr>
      </w:pPr>
      <w:r>
        <w:rPr>
          <w:rFonts w:hint="eastAsia"/>
          <w:kern w:val="0"/>
          <w:sz w:val="24"/>
          <w:szCs w:val="24"/>
        </w:rPr>
        <w:t xml:space="preserve">                                       </w:t>
      </w:r>
      <w:r>
        <w:rPr>
          <w:kern w:val="0"/>
          <w:sz w:val="24"/>
          <w:szCs w:val="24"/>
        </w:rPr>
        <w:t>2022</w:t>
      </w:r>
      <w:r>
        <w:rPr>
          <w:rFonts w:hint="eastAsia"/>
          <w:kern w:val="0"/>
          <w:sz w:val="24"/>
          <w:szCs w:val="24"/>
        </w:rPr>
        <w:t>年</w:t>
      </w:r>
      <w:r>
        <w:rPr>
          <w:kern w:val="0"/>
          <w:sz w:val="24"/>
          <w:szCs w:val="24"/>
        </w:rPr>
        <w:t>7</w:t>
      </w:r>
      <w:r>
        <w:rPr>
          <w:rFonts w:hint="eastAsia"/>
          <w:kern w:val="0"/>
          <w:sz w:val="24"/>
          <w:szCs w:val="24"/>
        </w:rPr>
        <w:t>月</w:t>
      </w:r>
      <w:r>
        <w:rPr>
          <w:kern w:val="0"/>
          <w:sz w:val="24"/>
          <w:szCs w:val="24"/>
        </w:rPr>
        <w:t>8</w:t>
      </w:r>
      <w:r>
        <w:rPr>
          <w:rFonts w:hint="eastAsia"/>
          <w:kern w:val="0"/>
          <w:sz w:val="24"/>
          <w:szCs w:val="24"/>
        </w:rPr>
        <w:t>日</w:t>
      </w:r>
    </w:p>
    <w:p>
      <w:pPr>
        <w:spacing w:line="440" w:lineRule="exact"/>
        <w:ind w:firstLine="300"/>
        <w:rPr>
          <w:kern w:val="0"/>
          <w:sz w:val="24"/>
          <w:szCs w:val="24"/>
        </w:rPr>
      </w:pPr>
    </w:p>
    <w:p>
      <w:pPr>
        <w:spacing w:line="440" w:lineRule="exact"/>
        <w:ind w:firstLine="300"/>
        <w:rPr>
          <w:kern w:val="0"/>
          <w:sz w:val="24"/>
          <w:szCs w:val="24"/>
        </w:rPr>
      </w:pPr>
    </w:p>
    <w:p>
      <w:pPr>
        <w:spacing w:line="440" w:lineRule="exact"/>
        <w:rPr>
          <w:sz w:val="24"/>
          <w:szCs w:val="24"/>
        </w:rPr>
      </w:pPr>
      <w:r>
        <w:rPr>
          <w:rFonts w:hint="eastAsia"/>
          <w:sz w:val="24"/>
          <w:szCs w:val="24"/>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FiZjE4OGRkMjc4NjNjZDIzNjMwMGJmMjBlNDU1MGIifQ=="/>
  </w:docVars>
  <w:rsids>
    <w:rsidRoot w:val="00431C8E"/>
    <w:rsid w:val="000030AF"/>
    <w:rsid w:val="0003279A"/>
    <w:rsid w:val="0007247F"/>
    <w:rsid w:val="000910EB"/>
    <w:rsid w:val="000D5B16"/>
    <w:rsid w:val="000F0ED4"/>
    <w:rsid w:val="000F6498"/>
    <w:rsid w:val="0013550A"/>
    <w:rsid w:val="00140970"/>
    <w:rsid w:val="00141151"/>
    <w:rsid w:val="001B507C"/>
    <w:rsid w:val="001B522C"/>
    <w:rsid w:val="001C1531"/>
    <w:rsid w:val="001D0C43"/>
    <w:rsid w:val="001D0EDB"/>
    <w:rsid w:val="001F3505"/>
    <w:rsid w:val="001F59C2"/>
    <w:rsid w:val="001F75F1"/>
    <w:rsid w:val="001F7858"/>
    <w:rsid w:val="00274CB0"/>
    <w:rsid w:val="002767F6"/>
    <w:rsid w:val="002912CB"/>
    <w:rsid w:val="002C7A95"/>
    <w:rsid w:val="003225C5"/>
    <w:rsid w:val="003303A1"/>
    <w:rsid w:val="00331196"/>
    <w:rsid w:val="00341AD3"/>
    <w:rsid w:val="00355F64"/>
    <w:rsid w:val="0039209F"/>
    <w:rsid w:val="003A4415"/>
    <w:rsid w:val="003B4B37"/>
    <w:rsid w:val="00402E6A"/>
    <w:rsid w:val="00414B3B"/>
    <w:rsid w:val="00431C8E"/>
    <w:rsid w:val="00463F6A"/>
    <w:rsid w:val="004814E4"/>
    <w:rsid w:val="004C20AC"/>
    <w:rsid w:val="004D2F65"/>
    <w:rsid w:val="005071E1"/>
    <w:rsid w:val="005212E7"/>
    <w:rsid w:val="005364E5"/>
    <w:rsid w:val="00540DF7"/>
    <w:rsid w:val="0055617A"/>
    <w:rsid w:val="00583567"/>
    <w:rsid w:val="005A76A0"/>
    <w:rsid w:val="00637FFD"/>
    <w:rsid w:val="006438C8"/>
    <w:rsid w:val="006464FA"/>
    <w:rsid w:val="0069546B"/>
    <w:rsid w:val="00695F17"/>
    <w:rsid w:val="00696892"/>
    <w:rsid w:val="00722B59"/>
    <w:rsid w:val="007609A5"/>
    <w:rsid w:val="007662C5"/>
    <w:rsid w:val="007A0681"/>
    <w:rsid w:val="007D3B2C"/>
    <w:rsid w:val="00842BE2"/>
    <w:rsid w:val="0085249D"/>
    <w:rsid w:val="008868C9"/>
    <w:rsid w:val="00893EDF"/>
    <w:rsid w:val="008E138A"/>
    <w:rsid w:val="008F762A"/>
    <w:rsid w:val="009003BD"/>
    <w:rsid w:val="009114AF"/>
    <w:rsid w:val="00911BD0"/>
    <w:rsid w:val="0093419D"/>
    <w:rsid w:val="00944BED"/>
    <w:rsid w:val="0094503B"/>
    <w:rsid w:val="00962C88"/>
    <w:rsid w:val="00966B42"/>
    <w:rsid w:val="009760D8"/>
    <w:rsid w:val="009B7ADC"/>
    <w:rsid w:val="009D576B"/>
    <w:rsid w:val="009E0C91"/>
    <w:rsid w:val="009F37BD"/>
    <w:rsid w:val="00A23F70"/>
    <w:rsid w:val="00A42538"/>
    <w:rsid w:val="00A65D3D"/>
    <w:rsid w:val="00A7714C"/>
    <w:rsid w:val="00AD7585"/>
    <w:rsid w:val="00AD77DA"/>
    <w:rsid w:val="00AF07C9"/>
    <w:rsid w:val="00AF5330"/>
    <w:rsid w:val="00B009A9"/>
    <w:rsid w:val="00B42D63"/>
    <w:rsid w:val="00B8382A"/>
    <w:rsid w:val="00BA7092"/>
    <w:rsid w:val="00BB647A"/>
    <w:rsid w:val="00BB6B1F"/>
    <w:rsid w:val="00BE55EE"/>
    <w:rsid w:val="00C119CD"/>
    <w:rsid w:val="00C306A0"/>
    <w:rsid w:val="00C3648B"/>
    <w:rsid w:val="00C41341"/>
    <w:rsid w:val="00C515EB"/>
    <w:rsid w:val="00C734E2"/>
    <w:rsid w:val="00C82F48"/>
    <w:rsid w:val="00C852B4"/>
    <w:rsid w:val="00C874FC"/>
    <w:rsid w:val="00C90776"/>
    <w:rsid w:val="00C97D02"/>
    <w:rsid w:val="00CA3D1D"/>
    <w:rsid w:val="00D00168"/>
    <w:rsid w:val="00D030F6"/>
    <w:rsid w:val="00D47982"/>
    <w:rsid w:val="00D63AA2"/>
    <w:rsid w:val="00D86971"/>
    <w:rsid w:val="00D93EB0"/>
    <w:rsid w:val="00DA496B"/>
    <w:rsid w:val="00DC20B2"/>
    <w:rsid w:val="00DE1D6B"/>
    <w:rsid w:val="00E158E2"/>
    <w:rsid w:val="00E27C11"/>
    <w:rsid w:val="00E34F4D"/>
    <w:rsid w:val="00E857D7"/>
    <w:rsid w:val="00EB04EA"/>
    <w:rsid w:val="00EE41BD"/>
    <w:rsid w:val="00F073DD"/>
    <w:rsid w:val="00F123B6"/>
    <w:rsid w:val="00F47B24"/>
    <w:rsid w:val="00FF534F"/>
    <w:rsid w:val="035737AE"/>
    <w:rsid w:val="106A6E17"/>
    <w:rsid w:val="15704A06"/>
    <w:rsid w:val="35FE2041"/>
    <w:rsid w:val="407E1437"/>
    <w:rsid w:val="48FC3F56"/>
    <w:rsid w:val="58825BB4"/>
    <w:rsid w:val="5B680B32"/>
    <w:rsid w:val="5C8602A2"/>
    <w:rsid w:val="6C3A18CF"/>
    <w:rsid w:val="721D0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apple-converted-space"/>
    <w:basedOn w:val="6"/>
    <w:qFormat/>
    <w:uiPriority w:val="0"/>
  </w:style>
  <w:style w:type="character" w:customStyle="1" w:styleId="8">
    <w:name w:val="页眉 字符"/>
    <w:basedOn w:val="6"/>
    <w:link w:val="4"/>
    <w:qFormat/>
    <w:uiPriority w:val="99"/>
    <w:rPr>
      <w:rFonts w:ascii="Times New Roman" w:hAnsi="Times New Roman" w:eastAsia="宋体" w:cs="Times New Roman"/>
      <w:sz w:val="18"/>
      <w:szCs w:val="18"/>
    </w:rPr>
  </w:style>
  <w:style w:type="character" w:customStyle="1" w:styleId="9">
    <w:name w:val="页脚 字符"/>
    <w:basedOn w:val="6"/>
    <w:link w:val="3"/>
    <w:qFormat/>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 w:type="character" w:customStyle="1" w:styleId="11">
    <w:name w:val="批注框文本 字符"/>
    <w:basedOn w:val="6"/>
    <w:link w:val="2"/>
    <w:semiHidden/>
    <w:qFormat/>
    <w:uiPriority w:val="99"/>
    <w:rPr>
      <w:rFonts w:ascii="Times New Roman" w:hAnsi="Times New Roman" w:eastAsia="宋体" w:cs="Times New Roman"/>
      <w:sz w:val="18"/>
      <w:szCs w:val="18"/>
    </w:rPr>
  </w:style>
  <w:style w:type="paragraph" w:customStyle="1" w:styleId="12">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 w:type="paragraph" w:customStyle="1" w:styleId="13">
    <w:name w:val="修订1"/>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5</Pages>
  <Words>2979</Words>
  <Characters>3125</Characters>
  <Lines>23</Lines>
  <Paragraphs>6</Paragraphs>
  <TotalTime>2</TotalTime>
  <ScaleCrop>false</ScaleCrop>
  <LinksUpToDate>false</LinksUpToDate>
  <CharactersWithSpaces>3242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2022-07-07T09:09:00Z</dcterms:created>
  <dc:creator>user</dc:creator>
  <cp:lastModifiedBy>potato</cp:lastModifiedBy>
  <cp:lastPrinted>2022-07-08T08:07:24Z</cp:lastPrinted>
  <dcterms:modified xsi:type="dcterms:W3CDTF">2022-07-08T08:07:42Z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C46F89C16B5742D0BD7B71A5615668ED</vt:lpwstr>
  </property>
</Properties>
</file>